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宋体" w:cs="宋体"/>
          <w:bCs/>
          <w:sz w:val="48"/>
          <w:szCs w:val="48"/>
          <w:highlight w:val="none"/>
        </w:rPr>
      </w:pPr>
    </w:p>
    <w:p>
      <w:pPr>
        <w:pStyle w:val="24"/>
        <w:ind w:firstLine="200"/>
        <w:rPr>
          <w:highlight w:val="none"/>
        </w:rPr>
      </w:pPr>
    </w:p>
    <w:p>
      <w:pPr>
        <w:pStyle w:val="24"/>
        <w:ind w:firstLine="200"/>
        <w:rPr>
          <w:highlight w:val="none"/>
        </w:rPr>
      </w:pPr>
    </w:p>
    <w:p>
      <w:pPr>
        <w:tabs>
          <w:tab w:val="left" w:pos="315"/>
          <w:tab w:val="left" w:pos="8820"/>
        </w:tabs>
        <w:spacing w:line="680" w:lineRule="exact"/>
        <w:ind w:right="267" w:rightChars="127"/>
        <w:jc w:val="center"/>
        <w:rPr>
          <w:rFonts w:ascii="宋体" w:hAnsi="宋体"/>
          <w:b/>
          <w:sz w:val="52"/>
          <w:szCs w:val="36"/>
          <w:highlight w:val="none"/>
          <w:shd w:val="clear" w:color="auto" w:fill="FFFFFF"/>
        </w:rPr>
      </w:pPr>
      <w:r>
        <w:rPr>
          <w:rFonts w:hint="eastAsia" w:ascii="宋体" w:hAnsi="宋体"/>
          <w:b/>
          <w:sz w:val="52"/>
          <w:szCs w:val="36"/>
          <w:highlight w:val="none"/>
          <w:shd w:val="clear" w:color="auto" w:fill="FFFFFF"/>
        </w:rPr>
        <w:t>安徽兴叶工程咨询有限公司</w:t>
      </w:r>
    </w:p>
    <w:p>
      <w:pPr>
        <w:tabs>
          <w:tab w:val="left" w:pos="315"/>
          <w:tab w:val="left" w:pos="8820"/>
        </w:tabs>
        <w:spacing w:line="680" w:lineRule="exact"/>
        <w:ind w:right="267" w:rightChars="127"/>
        <w:jc w:val="center"/>
        <w:rPr>
          <w:rFonts w:ascii="宋体" w:cs="宋体"/>
          <w:b/>
          <w:sz w:val="96"/>
          <w:szCs w:val="48"/>
          <w:highlight w:val="none"/>
          <w:lang w:val="zh-CN"/>
        </w:rPr>
      </w:pPr>
      <w:r>
        <w:rPr>
          <w:rFonts w:hint="eastAsia" w:ascii="宋体" w:hAnsi="宋体"/>
          <w:b/>
          <w:sz w:val="52"/>
          <w:szCs w:val="36"/>
          <w:highlight w:val="none"/>
          <w:shd w:val="clear" w:color="auto" w:fill="FFFFFF"/>
        </w:rPr>
        <w:t>咨询服务合作供应商征集项目</w:t>
      </w:r>
    </w:p>
    <w:p>
      <w:pPr>
        <w:tabs>
          <w:tab w:val="left" w:pos="315"/>
          <w:tab w:val="left" w:pos="8820"/>
        </w:tabs>
        <w:spacing w:line="680" w:lineRule="exact"/>
        <w:ind w:right="267" w:rightChars="127"/>
        <w:jc w:val="center"/>
        <w:rPr>
          <w:rFonts w:ascii="宋体" w:cs="宋体"/>
          <w:b/>
          <w:sz w:val="48"/>
          <w:szCs w:val="48"/>
          <w:highlight w:val="none"/>
          <w:lang w:val="zh-CN"/>
        </w:rPr>
      </w:pPr>
    </w:p>
    <w:p>
      <w:pPr>
        <w:tabs>
          <w:tab w:val="left" w:pos="315"/>
          <w:tab w:val="left" w:pos="8820"/>
        </w:tabs>
        <w:jc w:val="center"/>
        <w:rPr>
          <w:rFonts w:ascii="宋体" w:cs="宋体"/>
          <w:b/>
          <w:bCs/>
          <w:sz w:val="86"/>
          <w:szCs w:val="100"/>
          <w:highlight w:val="none"/>
        </w:rPr>
      </w:pPr>
      <w:r>
        <w:rPr>
          <w:rFonts w:hint="eastAsia" w:ascii="宋体" w:hAnsi="宋体" w:cs="宋体"/>
          <w:b/>
          <w:bCs/>
          <w:sz w:val="86"/>
          <w:szCs w:val="100"/>
          <w:highlight w:val="none"/>
        </w:rPr>
        <w:t>招标文件</w:t>
      </w:r>
    </w:p>
    <w:p>
      <w:pPr>
        <w:spacing w:line="600" w:lineRule="exact"/>
        <w:jc w:val="center"/>
        <w:rPr>
          <w:rFonts w:ascii="宋体" w:cs="宋体"/>
          <w:b/>
          <w:sz w:val="32"/>
          <w:szCs w:val="32"/>
          <w:highlight w:val="none"/>
        </w:rPr>
      </w:pPr>
      <w:r>
        <w:rPr>
          <w:rFonts w:hint="eastAsia" w:ascii="宋体" w:hAnsi="宋体" w:cs="宋体"/>
          <w:b/>
          <w:sz w:val="32"/>
          <w:szCs w:val="32"/>
          <w:highlight w:val="none"/>
        </w:rPr>
        <w:t>招标编号：</w:t>
      </w:r>
      <w:r>
        <w:rPr>
          <w:rFonts w:hint="eastAsia" w:ascii="宋体" w:hAnsi="宋体" w:cs="宋体"/>
          <w:b/>
          <w:sz w:val="32"/>
          <w:szCs w:val="32"/>
          <w:highlight w:val="none"/>
          <w:lang w:val="en-US" w:eastAsia="zh-CN"/>
        </w:rPr>
        <w:t>AHZJ-202123901161</w:t>
      </w:r>
      <w:r>
        <w:rPr>
          <w:rFonts w:ascii="宋体" w:hAnsi="宋体" w:cs="宋体"/>
          <w:b/>
          <w:sz w:val="32"/>
          <w:szCs w:val="32"/>
          <w:highlight w:val="none"/>
        </w:rPr>
        <w:t xml:space="preserve"> </w:t>
      </w:r>
    </w:p>
    <w:p>
      <w:pPr>
        <w:tabs>
          <w:tab w:val="left" w:pos="315"/>
          <w:tab w:val="left" w:pos="8820"/>
        </w:tabs>
        <w:ind w:right="267" w:rightChars="127"/>
        <w:jc w:val="center"/>
        <w:rPr>
          <w:rFonts w:ascii="宋体" w:cs="宋体"/>
          <w:sz w:val="44"/>
          <w:highlight w:val="none"/>
        </w:rPr>
      </w:pPr>
    </w:p>
    <w:p>
      <w:pPr>
        <w:tabs>
          <w:tab w:val="left" w:pos="315"/>
          <w:tab w:val="left" w:pos="8820"/>
        </w:tabs>
        <w:ind w:right="267" w:rightChars="127"/>
        <w:jc w:val="center"/>
        <w:rPr>
          <w:rFonts w:ascii="宋体" w:cs="宋体"/>
          <w:sz w:val="44"/>
          <w:highlight w:val="none"/>
        </w:rPr>
      </w:pPr>
    </w:p>
    <w:p>
      <w:pPr>
        <w:tabs>
          <w:tab w:val="left" w:pos="315"/>
          <w:tab w:val="left" w:pos="8820"/>
        </w:tabs>
        <w:ind w:right="267" w:rightChars="127"/>
        <w:jc w:val="center"/>
        <w:rPr>
          <w:rFonts w:ascii="宋体" w:cs="宋体"/>
          <w:sz w:val="44"/>
          <w:highlight w:val="none"/>
        </w:rPr>
      </w:pPr>
    </w:p>
    <w:p>
      <w:pPr>
        <w:tabs>
          <w:tab w:val="left" w:pos="315"/>
          <w:tab w:val="left" w:pos="8820"/>
        </w:tabs>
        <w:ind w:right="267" w:rightChars="127"/>
        <w:jc w:val="center"/>
        <w:rPr>
          <w:rFonts w:ascii="宋体" w:cs="宋体"/>
          <w:sz w:val="44"/>
          <w:highlight w:val="none"/>
        </w:rPr>
      </w:pPr>
    </w:p>
    <w:p>
      <w:pPr>
        <w:tabs>
          <w:tab w:val="left" w:pos="315"/>
          <w:tab w:val="left" w:pos="8820"/>
        </w:tabs>
        <w:ind w:right="267" w:rightChars="127"/>
        <w:jc w:val="center"/>
        <w:rPr>
          <w:rFonts w:ascii="宋体" w:cs="宋体"/>
          <w:sz w:val="44"/>
          <w:highlight w:val="none"/>
        </w:rPr>
      </w:pPr>
    </w:p>
    <w:p>
      <w:pPr>
        <w:tabs>
          <w:tab w:val="left" w:pos="315"/>
          <w:tab w:val="left" w:pos="8820"/>
        </w:tabs>
        <w:ind w:right="267" w:rightChars="127"/>
        <w:jc w:val="center"/>
        <w:rPr>
          <w:rFonts w:ascii="宋体" w:cs="宋体"/>
          <w:sz w:val="44"/>
          <w:highlight w:val="none"/>
        </w:rPr>
      </w:pPr>
    </w:p>
    <w:p>
      <w:pPr>
        <w:tabs>
          <w:tab w:val="left" w:pos="315"/>
          <w:tab w:val="left" w:pos="8820"/>
        </w:tabs>
        <w:ind w:right="267" w:rightChars="127"/>
        <w:jc w:val="center"/>
        <w:rPr>
          <w:rFonts w:ascii="宋体" w:cs="宋体"/>
          <w:sz w:val="44"/>
          <w:highlight w:val="none"/>
        </w:rPr>
      </w:pPr>
    </w:p>
    <w:p>
      <w:pPr>
        <w:adjustRightInd w:val="0"/>
        <w:snapToGrid w:val="0"/>
        <w:spacing w:after="120"/>
        <w:ind w:firstLine="1478" w:firstLineChars="462"/>
        <w:rPr>
          <w:rFonts w:ascii="宋体" w:hAnsi="宋体"/>
          <w:sz w:val="32"/>
          <w:szCs w:val="32"/>
          <w:highlight w:val="none"/>
        </w:rPr>
      </w:pPr>
      <w:r>
        <w:rPr>
          <w:rFonts w:hint="eastAsia" w:ascii="宋体" w:hAnsi="宋体"/>
          <w:sz w:val="32"/>
          <w:szCs w:val="32"/>
          <w:highlight w:val="none"/>
        </w:rPr>
        <w:t>招标人：安徽兴叶工程咨询有限公司</w:t>
      </w:r>
    </w:p>
    <w:p>
      <w:pPr>
        <w:adjustRightInd w:val="0"/>
        <w:snapToGrid w:val="0"/>
        <w:spacing w:after="120"/>
        <w:ind w:firstLine="1478" w:firstLineChars="462"/>
        <w:rPr>
          <w:rFonts w:ascii="宋体" w:hAnsi="宋体"/>
          <w:sz w:val="32"/>
          <w:szCs w:val="32"/>
          <w:highlight w:val="none"/>
        </w:rPr>
      </w:pPr>
      <w:r>
        <w:rPr>
          <w:rFonts w:hint="eastAsia" w:ascii="宋体" w:hAnsi="宋体"/>
          <w:sz w:val="32"/>
          <w:szCs w:val="32"/>
          <w:highlight w:val="none"/>
        </w:rPr>
        <w:t>招标代理机构：安徽中技工程咨询有限公司</w:t>
      </w:r>
    </w:p>
    <w:p>
      <w:pPr>
        <w:spacing w:line="360" w:lineRule="auto"/>
        <w:jc w:val="center"/>
        <w:rPr>
          <w:rFonts w:ascii="宋体" w:hAnsi="宋体"/>
          <w:sz w:val="32"/>
          <w:szCs w:val="32"/>
          <w:highlight w:val="none"/>
        </w:rPr>
      </w:pPr>
      <w:r>
        <w:rPr>
          <w:rFonts w:hint="eastAsia" w:ascii="宋体" w:hAnsi="宋体"/>
          <w:sz w:val="32"/>
          <w:szCs w:val="32"/>
          <w:highlight w:val="none"/>
        </w:rPr>
        <w:t>日期：二〇二一年十</w:t>
      </w:r>
      <w:r>
        <w:rPr>
          <w:rFonts w:hint="eastAsia" w:ascii="宋体" w:hAnsi="宋体"/>
          <w:sz w:val="32"/>
          <w:szCs w:val="32"/>
          <w:highlight w:val="none"/>
          <w:lang w:eastAsia="zh-CN"/>
        </w:rPr>
        <w:t>一</w:t>
      </w:r>
      <w:r>
        <w:rPr>
          <w:rFonts w:hint="eastAsia" w:ascii="宋体" w:hAnsi="宋体"/>
          <w:sz w:val="32"/>
          <w:szCs w:val="32"/>
          <w:highlight w:val="none"/>
        </w:rPr>
        <w:t>月</w:t>
      </w:r>
    </w:p>
    <w:p>
      <w:pPr>
        <w:spacing w:line="700" w:lineRule="exact"/>
        <w:jc w:val="center"/>
        <w:rPr>
          <w:rFonts w:ascii="宋体" w:cs="宋体"/>
          <w:b/>
          <w:bCs/>
          <w:spacing w:val="14"/>
          <w:sz w:val="36"/>
          <w:szCs w:val="36"/>
          <w:highlight w:val="none"/>
        </w:rPr>
      </w:pPr>
    </w:p>
    <w:p>
      <w:pPr>
        <w:spacing w:line="700" w:lineRule="exact"/>
        <w:ind w:firstLine="1605" w:firstLineChars="396"/>
        <w:rPr>
          <w:rFonts w:ascii="宋体" w:cs="宋体"/>
          <w:b/>
          <w:bCs/>
          <w:spacing w:val="22"/>
          <w:sz w:val="36"/>
          <w:szCs w:val="36"/>
          <w:highlight w:val="none"/>
        </w:rPr>
      </w:pPr>
    </w:p>
    <w:p>
      <w:pPr>
        <w:pStyle w:val="21"/>
        <w:tabs>
          <w:tab w:val="right" w:leader="dot" w:pos="8296"/>
        </w:tabs>
        <w:jc w:val="center"/>
        <w:rPr>
          <w:rFonts w:ascii="宋体" w:cs="宋体"/>
          <w:b/>
          <w:bCs/>
          <w:spacing w:val="20"/>
          <w:sz w:val="36"/>
          <w:szCs w:val="36"/>
          <w:highlight w:val="none"/>
        </w:rPr>
      </w:pPr>
    </w:p>
    <w:p>
      <w:pPr>
        <w:pStyle w:val="21"/>
        <w:tabs>
          <w:tab w:val="right" w:leader="dot" w:pos="8296"/>
        </w:tabs>
        <w:jc w:val="center"/>
        <w:rPr>
          <w:rFonts w:hint="eastAsia" w:ascii="宋体" w:hAnsi="宋体" w:cs="宋体"/>
          <w:b/>
          <w:bCs/>
          <w:spacing w:val="20"/>
          <w:sz w:val="44"/>
          <w:szCs w:val="44"/>
          <w:highlight w:val="none"/>
        </w:rPr>
      </w:pPr>
    </w:p>
    <w:p>
      <w:pPr>
        <w:pStyle w:val="21"/>
        <w:tabs>
          <w:tab w:val="right" w:leader="dot" w:pos="8296"/>
        </w:tabs>
        <w:jc w:val="center"/>
        <w:rPr>
          <w:rFonts w:ascii="宋体" w:cs="宋体"/>
          <w:b/>
          <w:bCs/>
          <w:spacing w:val="20"/>
          <w:sz w:val="44"/>
          <w:szCs w:val="44"/>
          <w:highlight w:val="none"/>
        </w:rPr>
      </w:pPr>
      <w:r>
        <w:rPr>
          <w:rFonts w:hint="eastAsia" w:ascii="宋体" w:hAnsi="宋体" w:cs="宋体"/>
          <w:b/>
          <w:bCs/>
          <w:spacing w:val="20"/>
          <w:sz w:val="44"/>
          <w:szCs w:val="44"/>
          <w:highlight w:val="none"/>
        </w:rPr>
        <w:t>目</w:t>
      </w:r>
      <w:r>
        <w:rPr>
          <w:rFonts w:ascii="宋体" w:hAnsi="宋体" w:cs="宋体"/>
          <w:b/>
          <w:bCs/>
          <w:spacing w:val="20"/>
          <w:sz w:val="44"/>
          <w:szCs w:val="44"/>
          <w:highlight w:val="none"/>
        </w:rPr>
        <w:t xml:space="preserve">   </w:t>
      </w:r>
      <w:r>
        <w:rPr>
          <w:rFonts w:hint="eastAsia" w:ascii="宋体" w:hAnsi="宋体" w:cs="宋体"/>
          <w:b/>
          <w:bCs/>
          <w:spacing w:val="20"/>
          <w:sz w:val="44"/>
          <w:szCs w:val="44"/>
          <w:highlight w:val="none"/>
        </w:rPr>
        <w:t>录</w:t>
      </w:r>
    </w:p>
    <w:p>
      <w:pPr>
        <w:pStyle w:val="21"/>
        <w:tabs>
          <w:tab w:val="right" w:leader="dot" w:pos="8296"/>
        </w:tabs>
        <w:rPr>
          <w:rFonts w:ascii="宋体" w:cs="宋体"/>
          <w:b/>
          <w:bCs/>
          <w:spacing w:val="20"/>
          <w:sz w:val="36"/>
          <w:szCs w:val="36"/>
          <w:highlight w:val="none"/>
        </w:rPr>
      </w:pP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720" w:lineRule="auto"/>
        <w:textAlignment w:val="auto"/>
        <w:rPr>
          <w:rFonts w:asciiTheme="minorHAnsi" w:hAnsiTheme="minorHAnsi" w:eastAsiaTheme="minorEastAsia" w:cstheme="minorBidi"/>
          <w:sz w:val="21"/>
          <w:szCs w:val="22"/>
          <w:highlight w:val="none"/>
        </w:rPr>
      </w:pPr>
      <w:r>
        <w:rPr>
          <w:rFonts w:ascii="宋体" w:hAnsi="宋体" w:cs="宋体"/>
          <w:b/>
          <w:bCs/>
          <w:spacing w:val="20"/>
          <w:sz w:val="36"/>
          <w:szCs w:val="36"/>
          <w:highlight w:val="none"/>
        </w:rPr>
        <w:fldChar w:fldCharType="begin"/>
      </w:r>
      <w:r>
        <w:rPr>
          <w:rFonts w:ascii="宋体" w:hAnsi="宋体" w:cs="宋体"/>
          <w:b/>
          <w:bCs/>
          <w:spacing w:val="20"/>
          <w:sz w:val="36"/>
          <w:szCs w:val="36"/>
          <w:highlight w:val="none"/>
        </w:rPr>
        <w:instrText xml:space="preserve"> TOC \o "1-3" \h \z \u </w:instrText>
      </w:r>
      <w:r>
        <w:rPr>
          <w:rFonts w:ascii="宋体" w:hAnsi="宋体" w:cs="宋体"/>
          <w:b/>
          <w:bCs/>
          <w:spacing w:val="20"/>
          <w:sz w:val="36"/>
          <w:szCs w:val="36"/>
          <w:highlight w:val="none"/>
        </w:rPr>
        <w:fldChar w:fldCharType="separate"/>
      </w:r>
      <w:r>
        <w:rPr>
          <w:highlight w:val="none"/>
        </w:rPr>
        <w:fldChar w:fldCharType="begin"/>
      </w:r>
      <w:r>
        <w:rPr>
          <w:highlight w:val="none"/>
        </w:rPr>
        <w:instrText xml:space="preserve"> HYPERLINK \l "_Toc83242153" </w:instrText>
      </w:r>
      <w:r>
        <w:rPr>
          <w:highlight w:val="none"/>
        </w:rPr>
        <w:fldChar w:fldCharType="separate"/>
      </w:r>
      <w:r>
        <w:rPr>
          <w:rStyle w:val="30"/>
          <w:rFonts w:hint="eastAsia" w:ascii="宋体" w:hAnsi="宋体"/>
          <w:color w:val="auto"/>
          <w:highlight w:val="none"/>
          <w:shd w:val="clear" w:color="auto" w:fill="FFFFFF"/>
        </w:rPr>
        <w:t>第一章</w:t>
      </w:r>
      <w:r>
        <w:rPr>
          <w:rStyle w:val="30"/>
          <w:rFonts w:ascii="宋体" w:hAnsi="宋体"/>
          <w:color w:val="auto"/>
          <w:highlight w:val="none"/>
          <w:shd w:val="clear" w:color="auto" w:fill="FFFFFF"/>
        </w:rPr>
        <w:t xml:space="preserve">  </w:t>
      </w:r>
      <w:r>
        <w:rPr>
          <w:rStyle w:val="30"/>
          <w:rFonts w:hint="eastAsia" w:ascii="宋体" w:hAnsi="宋体"/>
          <w:color w:val="auto"/>
          <w:highlight w:val="none"/>
          <w:shd w:val="clear" w:color="auto" w:fill="FFFFFF"/>
        </w:rPr>
        <w:t>招标公告</w:t>
      </w:r>
      <w:r>
        <w:rPr>
          <w:highlight w:val="none"/>
        </w:rPr>
        <w:tab/>
      </w:r>
      <w:r>
        <w:rPr>
          <w:highlight w:val="none"/>
        </w:rPr>
        <w:fldChar w:fldCharType="begin"/>
      </w:r>
      <w:r>
        <w:rPr>
          <w:highlight w:val="none"/>
        </w:rPr>
        <w:instrText xml:space="preserve"> PAGEREF _Toc83242153 \h </w:instrText>
      </w:r>
      <w:r>
        <w:rPr>
          <w:highlight w:val="none"/>
        </w:rPr>
        <w:fldChar w:fldCharType="separate"/>
      </w:r>
      <w:r>
        <w:rPr>
          <w:highlight w:val="none"/>
        </w:rPr>
        <w:t>3</w:t>
      </w:r>
      <w:r>
        <w:rPr>
          <w:highlight w:val="none"/>
        </w:rPr>
        <w:fldChar w:fldCharType="end"/>
      </w:r>
      <w:r>
        <w:rPr>
          <w:highlight w:val="none"/>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720" w:lineRule="auto"/>
        <w:textAlignment w:val="auto"/>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"_Toc83242154" </w:instrText>
      </w:r>
      <w:r>
        <w:rPr>
          <w:highlight w:val="none"/>
        </w:rPr>
        <w:fldChar w:fldCharType="separate"/>
      </w:r>
      <w:r>
        <w:rPr>
          <w:rStyle w:val="30"/>
          <w:rFonts w:hint="eastAsia" w:ascii="宋体" w:hAnsi="宋体"/>
          <w:color w:val="auto"/>
          <w:highlight w:val="none"/>
          <w:shd w:val="clear" w:color="auto" w:fill="FFFFFF"/>
        </w:rPr>
        <w:t>第二章</w:t>
      </w:r>
      <w:r>
        <w:rPr>
          <w:rStyle w:val="30"/>
          <w:rFonts w:ascii="宋体" w:hAnsi="宋体"/>
          <w:color w:val="auto"/>
          <w:highlight w:val="none"/>
          <w:shd w:val="clear" w:color="auto" w:fill="FFFFFF"/>
        </w:rPr>
        <w:t xml:space="preserve">  </w:t>
      </w:r>
      <w:r>
        <w:rPr>
          <w:rStyle w:val="30"/>
          <w:rFonts w:hint="eastAsia" w:ascii="宋体" w:hAnsi="宋体"/>
          <w:color w:val="auto"/>
          <w:highlight w:val="none"/>
          <w:shd w:val="clear" w:color="auto" w:fill="FFFFFF"/>
        </w:rPr>
        <w:t>投标人须知</w:t>
      </w:r>
      <w:r>
        <w:rPr>
          <w:highlight w:val="none"/>
        </w:rPr>
        <w:tab/>
      </w:r>
      <w:r>
        <w:rPr>
          <w:rFonts w:hint="eastAsia"/>
          <w:highlight w:val="none"/>
          <w:lang w:val="en-US" w:eastAsia="zh-CN"/>
        </w:rPr>
        <w:t>7</w:t>
      </w:r>
      <w:r>
        <w:rPr>
          <w:highlight w:val="none"/>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720" w:lineRule="auto"/>
        <w:textAlignment w:val="auto"/>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"_Toc83242155" </w:instrText>
      </w:r>
      <w:r>
        <w:rPr>
          <w:highlight w:val="none"/>
        </w:rPr>
        <w:fldChar w:fldCharType="separate"/>
      </w:r>
      <w:r>
        <w:rPr>
          <w:rStyle w:val="30"/>
          <w:rFonts w:hint="eastAsia" w:ascii="宋体" w:hAnsi="宋体"/>
          <w:color w:val="auto"/>
          <w:highlight w:val="none"/>
          <w:shd w:val="clear" w:color="auto" w:fill="FFFFFF"/>
        </w:rPr>
        <w:t>第三章</w:t>
      </w:r>
      <w:r>
        <w:rPr>
          <w:rStyle w:val="30"/>
          <w:rFonts w:ascii="宋体" w:hAnsi="宋体"/>
          <w:color w:val="auto"/>
          <w:highlight w:val="none"/>
          <w:shd w:val="clear" w:color="auto" w:fill="FFFFFF"/>
        </w:rPr>
        <w:t xml:space="preserve">  </w:t>
      </w:r>
      <w:r>
        <w:rPr>
          <w:rStyle w:val="30"/>
          <w:rFonts w:hint="eastAsia" w:ascii="宋体" w:hAnsi="宋体"/>
          <w:color w:val="auto"/>
          <w:highlight w:val="none"/>
          <w:shd w:val="clear" w:color="auto" w:fill="FFFFFF"/>
        </w:rPr>
        <w:t>评审办法</w:t>
      </w:r>
      <w:r>
        <w:rPr>
          <w:highlight w:val="none"/>
        </w:rPr>
        <w:tab/>
      </w:r>
      <w:r>
        <w:rPr>
          <w:highlight w:val="none"/>
        </w:rPr>
        <w:fldChar w:fldCharType="begin"/>
      </w:r>
      <w:r>
        <w:rPr>
          <w:highlight w:val="none"/>
        </w:rPr>
        <w:instrText xml:space="preserve"> PAGEREF _Toc83242155 \h </w:instrText>
      </w:r>
      <w:r>
        <w:rPr>
          <w:highlight w:val="none"/>
        </w:rPr>
        <w:fldChar w:fldCharType="separate"/>
      </w:r>
      <w:r>
        <w:rPr>
          <w:highlight w:val="none"/>
        </w:rPr>
        <w:t>2</w:t>
      </w:r>
      <w:r>
        <w:rPr>
          <w:rFonts w:hint="eastAsia"/>
          <w:highlight w:val="none"/>
          <w:lang w:val="en-US" w:eastAsia="zh-CN"/>
        </w:rPr>
        <w:t>1</w:t>
      </w:r>
      <w:r>
        <w:rPr>
          <w:highlight w:val="none"/>
        </w:rPr>
        <w:fldChar w:fldCharType="end"/>
      </w:r>
      <w:r>
        <w:rPr>
          <w:highlight w:val="none"/>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720" w:lineRule="auto"/>
        <w:textAlignment w:val="auto"/>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"_Toc83242156" </w:instrText>
      </w:r>
      <w:r>
        <w:rPr>
          <w:highlight w:val="none"/>
        </w:rPr>
        <w:fldChar w:fldCharType="separate"/>
      </w:r>
      <w:r>
        <w:rPr>
          <w:rStyle w:val="30"/>
          <w:rFonts w:hint="eastAsia" w:ascii="宋体" w:hAnsi="宋体"/>
          <w:color w:val="auto"/>
          <w:highlight w:val="none"/>
          <w:shd w:val="clear" w:color="auto" w:fill="FFFFFF"/>
        </w:rPr>
        <w:t>第四章</w:t>
      </w:r>
      <w:r>
        <w:rPr>
          <w:rStyle w:val="30"/>
          <w:rFonts w:ascii="宋体" w:hAnsi="宋体"/>
          <w:color w:val="auto"/>
          <w:highlight w:val="none"/>
          <w:shd w:val="clear" w:color="auto" w:fill="FFFFFF"/>
        </w:rPr>
        <w:t xml:space="preserve">  </w:t>
      </w:r>
      <w:r>
        <w:rPr>
          <w:rStyle w:val="30"/>
          <w:rFonts w:hint="eastAsia" w:ascii="宋体" w:hAnsi="宋体"/>
          <w:color w:val="auto"/>
          <w:highlight w:val="none"/>
          <w:shd w:val="clear" w:color="auto" w:fill="FFFFFF"/>
        </w:rPr>
        <w:t>合同条款及格式</w:t>
      </w:r>
      <w:r>
        <w:rPr>
          <w:rStyle w:val="30"/>
          <w:rFonts w:ascii="宋体" w:hAnsi="宋体"/>
          <w:color w:val="auto"/>
          <w:highlight w:val="none"/>
          <w:shd w:val="clear" w:color="auto" w:fill="FFFFFF"/>
        </w:rPr>
        <w:t>(</w:t>
      </w:r>
      <w:r>
        <w:rPr>
          <w:rStyle w:val="30"/>
          <w:rFonts w:hint="eastAsia" w:ascii="宋体" w:hAnsi="宋体"/>
          <w:color w:val="auto"/>
          <w:highlight w:val="none"/>
          <w:shd w:val="clear" w:color="auto" w:fill="FFFFFF"/>
        </w:rPr>
        <w:t>参照）</w:t>
      </w:r>
      <w:r>
        <w:rPr>
          <w:highlight w:val="none"/>
        </w:rPr>
        <w:tab/>
      </w:r>
      <w:r>
        <w:rPr>
          <w:highlight w:val="none"/>
        </w:rPr>
        <w:fldChar w:fldCharType="begin"/>
      </w:r>
      <w:r>
        <w:rPr>
          <w:highlight w:val="none"/>
        </w:rPr>
        <w:instrText xml:space="preserve"> PAGEREF _Toc83242156 \h </w:instrText>
      </w:r>
      <w:r>
        <w:rPr>
          <w:highlight w:val="none"/>
        </w:rPr>
        <w:fldChar w:fldCharType="separate"/>
      </w:r>
      <w:r>
        <w:rPr>
          <w:highlight w:val="none"/>
        </w:rPr>
        <w:t>2</w:t>
      </w:r>
      <w:r>
        <w:rPr>
          <w:rFonts w:hint="eastAsia"/>
          <w:highlight w:val="none"/>
          <w:lang w:val="en-US" w:eastAsia="zh-CN"/>
        </w:rPr>
        <w:t>6</w:t>
      </w:r>
      <w:r>
        <w:rPr>
          <w:highlight w:val="none"/>
        </w:rPr>
        <w:fldChar w:fldCharType="end"/>
      </w:r>
      <w:r>
        <w:rPr>
          <w:highlight w:val="none"/>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720" w:lineRule="auto"/>
        <w:textAlignment w:val="auto"/>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"_Toc83242157" </w:instrText>
      </w:r>
      <w:r>
        <w:rPr>
          <w:highlight w:val="none"/>
        </w:rPr>
        <w:fldChar w:fldCharType="separate"/>
      </w:r>
      <w:r>
        <w:rPr>
          <w:rStyle w:val="30"/>
          <w:rFonts w:hint="eastAsia" w:ascii="宋体" w:hAnsi="宋体"/>
          <w:color w:val="auto"/>
          <w:highlight w:val="none"/>
          <w:shd w:val="clear" w:color="auto" w:fill="FFFFFF"/>
        </w:rPr>
        <w:t>第五章</w:t>
      </w:r>
      <w:r>
        <w:rPr>
          <w:rStyle w:val="30"/>
          <w:rFonts w:ascii="宋体" w:hAnsi="宋体"/>
          <w:color w:val="auto"/>
          <w:highlight w:val="none"/>
          <w:shd w:val="clear" w:color="auto" w:fill="FFFFFF"/>
        </w:rPr>
        <w:t xml:space="preserve">  </w:t>
      </w:r>
      <w:r>
        <w:rPr>
          <w:rStyle w:val="30"/>
          <w:rFonts w:hint="eastAsia" w:ascii="宋体" w:hAnsi="宋体"/>
          <w:color w:val="auto"/>
          <w:highlight w:val="none"/>
          <w:shd w:val="clear" w:color="auto" w:fill="FFFFFF"/>
        </w:rPr>
        <w:t>咨询服务</w:t>
      </w:r>
      <w:r>
        <w:rPr>
          <w:rStyle w:val="30"/>
          <w:rFonts w:hint="eastAsia" w:ascii="宋体" w:hAnsi="宋体"/>
          <w:color w:val="auto"/>
          <w:highlight w:val="none"/>
          <w:shd w:val="clear" w:color="auto" w:fill="FFFFFF"/>
          <w:lang w:val="en-US" w:eastAsia="zh-CN"/>
        </w:rPr>
        <w:t>合作</w:t>
      </w:r>
      <w:r>
        <w:rPr>
          <w:rStyle w:val="30"/>
          <w:rFonts w:hint="eastAsia" w:ascii="宋体" w:hAnsi="宋体"/>
          <w:color w:val="auto"/>
          <w:highlight w:val="none"/>
          <w:shd w:val="clear" w:color="auto" w:fill="FFFFFF"/>
        </w:rPr>
        <w:t>供应商管理及业务承接办法</w:t>
      </w:r>
      <w:r>
        <w:rPr>
          <w:highlight w:val="none"/>
        </w:rPr>
        <w:tab/>
      </w:r>
      <w:r>
        <w:rPr>
          <w:highlight w:val="none"/>
        </w:rPr>
        <w:fldChar w:fldCharType="begin"/>
      </w:r>
      <w:r>
        <w:rPr>
          <w:highlight w:val="none"/>
        </w:rPr>
        <w:instrText xml:space="preserve"> PAGEREF _Toc83242157 \h </w:instrText>
      </w:r>
      <w:r>
        <w:rPr>
          <w:highlight w:val="none"/>
        </w:rPr>
        <w:fldChar w:fldCharType="separate"/>
      </w:r>
      <w:r>
        <w:rPr>
          <w:highlight w:val="none"/>
        </w:rPr>
        <w:t>3</w:t>
      </w:r>
      <w:r>
        <w:rPr>
          <w:rFonts w:hint="eastAsia"/>
          <w:highlight w:val="none"/>
          <w:lang w:val="en-US" w:eastAsia="zh-CN"/>
        </w:rPr>
        <w:t>0</w:t>
      </w:r>
      <w:r>
        <w:rPr>
          <w:highlight w:val="none"/>
        </w:rPr>
        <w:fldChar w:fldCharType="end"/>
      </w:r>
      <w:r>
        <w:rPr>
          <w:highlight w:val="none"/>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spacing w:line="720" w:lineRule="auto"/>
        <w:textAlignment w:val="auto"/>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"_Toc83242158" </w:instrText>
      </w:r>
      <w:r>
        <w:rPr>
          <w:highlight w:val="none"/>
        </w:rPr>
        <w:fldChar w:fldCharType="separate"/>
      </w:r>
      <w:r>
        <w:rPr>
          <w:rStyle w:val="30"/>
          <w:rFonts w:hint="eastAsia" w:ascii="宋体" w:hAnsi="宋体"/>
          <w:color w:val="auto"/>
          <w:highlight w:val="none"/>
          <w:shd w:val="clear" w:color="auto" w:fill="FFFFFF"/>
        </w:rPr>
        <w:t>第六章</w:t>
      </w:r>
      <w:r>
        <w:rPr>
          <w:rStyle w:val="30"/>
          <w:rFonts w:ascii="宋体" w:hAnsi="宋体"/>
          <w:color w:val="auto"/>
          <w:highlight w:val="none"/>
          <w:shd w:val="clear" w:color="auto" w:fill="FFFFFF"/>
        </w:rPr>
        <w:t xml:space="preserve">  </w:t>
      </w:r>
      <w:r>
        <w:rPr>
          <w:rStyle w:val="30"/>
          <w:rFonts w:hint="eastAsia" w:ascii="宋体" w:hAnsi="宋体"/>
          <w:color w:val="auto"/>
          <w:highlight w:val="none"/>
          <w:shd w:val="clear" w:color="auto" w:fill="FFFFFF"/>
        </w:rPr>
        <w:t>投标文件格式</w:t>
      </w:r>
      <w:r>
        <w:rPr>
          <w:highlight w:val="none"/>
        </w:rPr>
        <w:tab/>
      </w:r>
      <w:r>
        <w:rPr>
          <w:highlight w:val="none"/>
        </w:rPr>
        <w:fldChar w:fldCharType="begin"/>
      </w:r>
      <w:r>
        <w:rPr>
          <w:highlight w:val="none"/>
        </w:rPr>
        <w:instrText xml:space="preserve"> PAGEREF _Toc83242158 \h </w:instrText>
      </w:r>
      <w:r>
        <w:rPr>
          <w:highlight w:val="none"/>
        </w:rPr>
        <w:fldChar w:fldCharType="separate"/>
      </w:r>
      <w:r>
        <w:rPr>
          <w:highlight w:val="none"/>
        </w:rPr>
        <w:t>3</w:t>
      </w:r>
      <w:r>
        <w:rPr>
          <w:rFonts w:hint="eastAsia"/>
          <w:highlight w:val="none"/>
          <w:lang w:val="en-US" w:eastAsia="zh-CN"/>
        </w:rPr>
        <w:t>2</w:t>
      </w:r>
      <w:r>
        <w:rPr>
          <w:highlight w:val="none"/>
        </w:rPr>
        <w:fldChar w:fldCharType="end"/>
      </w:r>
      <w:r>
        <w:rPr>
          <w:highlight w:val="none"/>
        </w:rPr>
        <w:fldChar w:fldCharType="end"/>
      </w:r>
    </w:p>
    <w:p>
      <w:pPr>
        <w:spacing w:line="700" w:lineRule="exact"/>
        <w:ind w:firstLine="1590" w:firstLineChars="396"/>
        <w:rPr>
          <w:rFonts w:ascii="宋体" w:cs="宋体"/>
          <w:b/>
          <w:bCs/>
          <w:spacing w:val="20"/>
          <w:sz w:val="36"/>
          <w:szCs w:val="36"/>
          <w:highlight w:val="none"/>
        </w:rPr>
      </w:pPr>
      <w:r>
        <w:rPr>
          <w:rFonts w:ascii="宋体" w:hAnsi="宋体" w:cs="宋体"/>
          <w:b/>
          <w:bCs/>
          <w:spacing w:val="20"/>
          <w:sz w:val="36"/>
          <w:szCs w:val="36"/>
          <w:highlight w:val="none"/>
        </w:rPr>
        <w:fldChar w:fldCharType="end"/>
      </w:r>
    </w:p>
    <w:p>
      <w:pPr>
        <w:pStyle w:val="7"/>
        <w:tabs>
          <w:tab w:val="left" w:pos="1125"/>
        </w:tabs>
        <w:spacing w:line="520" w:lineRule="exact"/>
        <w:ind w:firstLine="0"/>
        <w:rPr>
          <w:rFonts w:ascii="宋体" w:hAnsi="宋体" w:eastAsia="宋体" w:cs="宋体"/>
          <w:b w:val="0"/>
          <w:sz w:val="36"/>
          <w:szCs w:val="36"/>
          <w:highlight w:val="none"/>
        </w:rPr>
      </w:pPr>
      <w:bookmarkStart w:id="0" w:name="_Toc386101316"/>
      <w:r>
        <w:rPr>
          <w:rFonts w:ascii="宋体" w:hAnsi="宋体" w:eastAsia="宋体" w:cs="宋体"/>
          <w:b w:val="0"/>
          <w:highlight w:val="none"/>
        </w:rPr>
        <w:br w:type="page"/>
      </w:r>
      <w:bookmarkStart w:id="1" w:name="_Toc83242153"/>
      <w:r>
        <w:rPr>
          <w:rFonts w:hint="eastAsia" w:ascii="宋体" w:hAnsi="宋体" w:eastAsia="宋体"/>
          <w:b w:val="0"/>
          <w:sz w:val="34"/>
          <w:szCs w:val="36"/>
          <w:highlight w:val="none"/>
          <w:shd w:val="clear" w:color="auto" w:fill="FFFFFF"/>
        </w:rPr>
        <w:t>第一章</w:t>
      </w:r>
      <w:r>
        <w:rPr>
          <w:rFonts w:ascii="宋体" w:hAnsi="宋体" w:eastAsia="宋体"/>
          <w:b w:val="0"/>
          <w:sz w:val="34"/>
          <w:szCs w:val="36"/>
          <w:highlight w:val="none"/>
          <w:shd w:val="clear" w:color="auto" w:fill="FFFFFF"/>
        </w:rPr>
        <w:t xml:space="preserve">  </w:t>
      </w:r>
      <w:r>
        <w:rPr>
          <w:rFonts w:hint="eastAsia" w:ascii="宋体" w:hAnsi="宋体" w:eastAsia="宋体"/>
          <w:b w:val="0"/>
          <w:sz w:val="36"/>
          <w:szCs w:val="36"/>
          <w:highlight w:val="none"/>
          <w:shd w:val="clear" w:color="auto" w:fill="FFFFFF"/>
        </w:rPr>
        <w:t>招标公告</w:t>
      </w:r>
      <w:bookmarkEnd w:id="1"/>
    </w:p>
    <w:p>
      <w:pPr>
        <w:spacing w:line="500" w:lineRule="exact"/>
        <w:rPr>
          <w:rFonts w:ascii="宋体"/>
          <w:b/>
          <w:bCs/>
          <w:sz w:val="28"/>
          <w:szCs w:val="28"/>
          <w:highlight w:val="none"/>
        </w:rPr>
      </w:pPr>
      <w:r>
        <w:rPr>
          <w:rFonts w:hint="eastAsia" w:ascii="宋体"/>
          <w:b/>
          <w:bCs/>
          <w:sz w:val="28"/>
          <w:szCs w:val="28"/>
          <w:highlight w:val="none"/>
        </w:rPr>
        <w:t>安徽兴叶工程咨询有限公司咨询服务合作供应商征集项目招标公告</w:t>
      </w:r>
    </w:p>
    <w:p>
      <w:pPr>
        <w:spacing w:line="500" w:lineRule="exact"/>
        <w:ind w:firstLine="480" w:firstLineChars="200"/>
        <w:rPr>
          <w:rFonts w:hint="eastAsia" w:ascii="宋体" w:hAnsi="宋体"/>
          <w:sz w:val="24"/>
          <w:szCs w:val="24"/>
          <w:highlight w:val="none"/>
          <w:shd w:val="clear" w:color="auto" w:fill="FFFFFF"/>
        </w:rPr>
      </w:pPr>
      <w:r>
        <w:rPr>
          <w:rFonts w:hint="eastAsia" w:ascii="宋体" w:hAnsi="宋体"/>
          <w:sz w:val="24"/>
          <w:szCs w:val="24"/>
          <w:highlight w:val="none"/>
          <w:shd w:val="clear" w:color="auto" w:fill="FFFFFF"/>
        </w:rPr>
        <w:t>一、招标编号：</w:t>
      </w:r>
      <w:r>
        <w:rPr>
          <w:rFonts w:hint="eastAsia" w:ascii="宋体" w:hAnsi="宋体"/>
          <w:sz w:val="24"/>
          <w:szCs w:val="24"/>
          <w:highlight w:val="none"/>
          <w:shd w:val="clear" w:color="auto" w:fill="FFFFFF"/>
          <w:lang w:val="en-US" w:eastAsia="zh-CN"/>
        </w:rPr>
        <w:t>AHZJ-202123901161</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二、项目名称：安徽兴叶工程咨询有限公司咨询服务合作供应商征集项目</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三、项目实施地点：六安市叶集区</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四、项目实施主体（招标人）：安徽兴叶工程咨询有限公司</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五、项目实施主体（招标人）地址：位于六安市叶集区东楼路与南海路交汇处南海嘉苑S1#楼</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六、项目类型：服务类</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七、招标方式：公开招标</w:t>
      </w:r>
    </w:p>
    <w:p>
      <w:pPr>
        <w:spacing w:line="500" w:lineRule="exact"/>
        <w:ind w:firstLine="480" w:firstLineChars="200"/>
        <w:rPr>
          <w:rFonts w:hint="eastAsia" w:ascii="宋体" w:hAnsi="宋体"/>
          <w:sz w:val="24"/>
          <w:szCs w:val="24"/>
          <w:highlight w:val="none"/>
          <w:shd w:val="clear" w:color="auto" w:fill="FFFFFF"/>
        </w:rPr>
      </w:pPr>
      <w:r>
        <w:rPr>
          <w:rFonts w:hint="eastAsia" w:ascii="宋体" w:hAnsi="宋体"/>
          <w:sz w:val="24"/>
          <w:szCs w:val="24"/>
          <w:highlight w:val="none"/>
          <w:shd w:val="clear" w:color="auto" w:fill="FFFFFF"/>
        </w:rPr>
        <w:t>八、项目概况：安徽兴叶工程咨询有限公司成立于2020年12月24日，注册资金5000万元，是安徽皖西国有投资（控股）集团公司全资子公司，为区属国有企业，公司经营范围包括工程招标投标代理、采购招标代理</w:t>
      </w:r>
      <w:r>
        <w:rPr>
          <w:rFonts w:hint="eastAsia" w:ascii="宋体" w:hAnsi="宋体"/>
          <w:sz w:val="24"/>
          <w:szCs w:val="24"/>
          <w:highlight w:val="none"/>
          <w:shd w:val="clear" w:color="auto" w:fill="FFFFFF"/>
          <w:lang w:eastAsia="zh-CN"/>
        </w:rPr>
        <w:t>、</w:t>
      </w:r>
      <w:r>
        <w:rPr>
          <w:rFonts w:hint="eastAsia" w:ascii="宋体" w:hAnsi="宋体"/>
          <w:sz w:val="24"/>
          <w:szCs w:val="24"/>
          <w:highlight w:val="none"/>
          <w:shd w:val="clear" w:color="auto" w:fill="FFFFFF"/>
        </w:rPr>
        <w:t>工程造价咨询与服务</w:t>
      </w:r>
      <w:r>
        <w:rPr>
          <w:rFonts w:hint="eastAsia" w:ascii="宋体" w:hAnsi="宋体"/>
          <w:sz w:val="24"/>
          <w:szCs w:val="24"/>
          <w:highlight w:val="none"/>
          <w:shd w:val="clear" w:color="auto" w:fill="FFFFFF"/>
          <w:lang w:val="en-US" w:eastAsia="zh-CN"/>
        </w:rPr>
        <w:t>等</w:t>
      </w:r>
      <w:r>
        <w:rPr>
          <w:rFonts w:hint="eastAsia" w:ascii="宋体" w:hAnsi="宋体"/>
          <w:sz w:val="24"/>
          <w:szCs w:val="24"/>
          <w:highlight w:val="none"/>
          <w:shd w:val="clear" w:color="auto" w:fill="FFFFFF"/>
        </w:rPr>
        <w:t>。现拟征集不超过14家符合条件的供应商</w:t>
      </w:r>
      <w:r>
        <w:rPr>
          <w:rFonts w:hint="eastAsia" w:ascii="宋体" w:hAnsi="宋体"/>
          <w:sz w:val="24"/>
          <w:szCs w:val="24"/>
          <w:highlight w:val="none"/>
          <w:shd w:val="clear" w:color="auto" w:fill="FFFFFF"/>
          <w:lang w:val="en-US" w:eastAsia="zh-CN"/>
        </w:rPr>
        <w:t>与</w:t>
      </w:r>
      <w:r>
        <w:rPr>
          <w:rFonts w:hint="eastAsia" w:ascii="宋体" w:hAnsi="宋体"/>
          <w:sz w:val="24"/>
          <w:szCs w:val="24"/>
          <w:highlight w:val="none"/>
          <w:shd w:val="clear" w:color="auto" w:fill="FFFFFF"/>
        </w:rPr>
        <w:t>安徽兴叶工程咨询有限公司</w:t>
      </w:r>
      <w:r>
        <w:rPr>
          <w:rFonts w:hint="eastAsia" w:ascii="宋体" w:hAnsi="宋体"/>
          <w:sz w:val="24"/>
          <w:szCs w:val="24"/>
          <w:highlight w:val="none"/>
          <w:shd w:val="clear" w:color="auto" w:fill="FFFFFF"/>
          <w:lang w:val="en-US" w:eastAsia="zh-CN"/>
        </w:rPr>
        <w:t>合作，</w:t>
      </w:r>
      <w:r>
        <w:rPr>
          <w:rFonts w:hint="eastAsia" w:ascii="宋体" w:hAnsi="宋体"/>
          <w:sz w:val="24"/>
          <w:szCs w:val="24"/>
          <w:highlight w:val="none"/>
          <w:shd w:val="clear" w:color="auto" w:fill="FFFFFF"/>
        </w:rPr>
        <w:t>从事相关</w:t>
      </w:r>
      <w:r>
        <w:rPr>
          <w:rFonts w:hint="eastAsia" w:ascii="宋体" w:hAnsi="宋体"/>
          <w:sz w:val="24"/>
          <w:szCs w:val="24"/>
          <w:highlight w:val="none"/>
          <w:shd w:val="clear" w:color="auto" w:fill="FFFFFF"/>
          <w:lang w:val="en-US" w:eastAsia="zh-CN"/>
        </w:rPr>
        <w:t>项目的</w:t>
      </w:r>
      <w:r>
        <w:rPr>
          <w:rFonts w:hint="eastAsia" w:ascii="宋体" w:hAnsi="宋体"/>
          <w:sz w:val="24"/>
          <w:szCs w:val="24"/>
          <w:highlight w:val="none"/>
          <w:shd w:val="clear" w:color="auto" w:fill="FFFFFF"/>
        </w:rPr>
        <w:t>招标、采购、造价咨询服务(含工程量清单及控制价编制)，具体规则详见第五章内容。服务期间或期满后，根据</w:t>
      </w:r>
      <w:r>
        <w:rPr>
          <w:rFonts w:hint="eastAsia" w:ascii="宋体" w:hAnsi="宋体"/>
          <w:sz w:val="24"/>
          <w:szCs w:val="24"/>
          <w:highlight w:val="none"/>
          <w:shd w:val="clear" w:color="auto" w:fill="FFFFFF"/>
          <w:lang w:val="en-US" w:eastAsia="zh-CN"/>
        </w:rPr>
        <w:t>考核结果和</w:t>
      </w:r>
      <w:r>
        <w:rPr>
          <w:rFonts w:hint="eastAsia" w:ascii="宋体" w:hAnsi="宋体"/>
          <w:sz w:val="24"/>
          <w:szCs w:val="24"/>
          <w:highlight w:val="none"/>
          <w:shd w:val="clear" w:color="auto" w:fill="FFFFFF"/>
        </w:rPr>
        <w:t>服务质量</w:t>
      </w:r>
      <w:r>
        <w:rPr>
          <w:rFonts w:hint="eastAsia" w:ascii="宋体" w:hAnsi="宋体"/>
          <w:sz w:val="24"/>
          <w:szCs w:val="24"/>
          <w:highlight w:val="none"/>
          <w:shd w:val="clear" w:color="auto" w:fill="FFFFFF"/>
          <w:lang w:val="en-US" w:eastAsia="zh-CN"/>
        </w:rPr>
        <w:t>综合考虑，</w:t>
      </w:r>
      <w:r>
        <w:rPr>
          <w:rFonts w:hint="eastAsia" w:ascii="宋体" w:hAnsi="宋体"/>
          <w:sz w:val="24"/>
          <w:szCs w:val="24"/>
          <w:highlight w:val="none"/>
          <w:shd w:val="clear" w:color="auto" w:fill="FFFFFF"/>
        </w:rPr>
        <w:t>决定是否继续保留在安徽兴叶工程咨询有限公司咨询服务</w:t>
      </w:r>
      <w:r>
        <w:rPr>
          <w:rFonts w:hint="eastAsia" w:ascii="宋体" w:hAnsi="宋体"/>
          <w:sz w:val="24"/>
          <w:szCs w:val="24"/>
          <w:highlight w:val="none"/>
          <w:shd w:val="clear" w:color="auto" w:fill="FFFFFF"/>
          <w:lang w:val="en-US" w:eastAsia="zh-CN"/>
        </w:rPr>
        <w:t>合作</w:t>
      </w:r>
      <w:r>
        <w:rPr>
          <w:rFonts w:hint="eastAsia" w:ascii="宋体" w:hAnsi="宋体"/>
          <w:sz w:val="24"/>
          <w:szCs w:val="24"/>
          <w:highlight w:val="none"/>
          <w:shd w:val="clear" w:color="auto" w:fill="FFFFFF"/>
        </w:rPr>
        <w:t>供应商名单内。</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九、资金来源：已落实。</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十、服务期限：3年</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十一、投标人资质、资格要求：</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1、投标人应具有独立法人资格，同时具有有效的营业执照（或事业单位法人证书），具备与本项目相适应的服务能力。</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lang w:val="en-US" w:eastAsia="zh-CN"/>
        </w:rPr>
        <w:t>2</w:t>
      </w:r>
      <w:r>
        <w:rPr>
          <w:rFonts w:hint="eastAsia" w:ascii="宋体" w:hAnsi="宋体"/>
          <w:sz w:val="24"/>
          <w:szCs w:val="24"/>
          <w:highlight w:val="none"/>
          <w:shd w:val="clear" w:color="auto" w:fill="FFFFFF"/>
        </w:rPr>
        <w:t>、投标人近3年（2018年9月1日以来）在全国企业信用信息公示系统（安徽省或应征人工商注册所在地省）&lt;http://www.gsxt.gov.cn或应征人工商注册所在地省企业信用信息公示系统网站&gt;未被列入经营异常名录（或曾经被列入但现已被移出）、未被列入严重违法失信企业名单（黑名单）（或曾经被列入但现已被移出）。（以网上查询为准）</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lang w:val="en-US" w:eastAsia="zh-CN"/>
        </w:rPr>
        <w:t>3</w:t>
      </w:r>
      <w:r>
        <w:rPr>
          <w:rFonts w:hint="eastAsia" w:ascii="宋体" w:hAnsi="宋体"/>
          <w:sz w:val="24"/>
          <w:szCs w:val="24"/>
          <w:highlight w:val="none"/>
          <w:shd w:val="clear" w:color="auto" w:fill="FFFFFF"/>
        </w:rPr>
        <w:t>、投标人在六安市叶集区被相关监督部门记不良行为记录且在披露期内或近3年（2018年9月1日以来）在六安市叶集区被相关监督部门查实存在弄虚作假等不良行为的，拒绝其参加六安市叶集区域内招标项目的投标。</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lang w:val="en-US" w:eastAsia="zh-CN"/>
        </w:rPr>
        <w:t>4</w:t>
      </w:r>
      <w:r>
        <w:rPr>
          <w:rFonts w:hint="eastAsia" w:ascii="宋体" w:hAnsi="宋体"/>
          <w:sz w:val="24"/>
          <w:szCs w:val="24"/>
          <w:highlight w:val="none"/>
          <w:shd w:val="clear" w:color="auto" w:fill="FFFFFF"/>
        </w:rPr>
        <w:t>、投标人在六安市叶集区及六安市叶集区以外其他地方未受到尚处在投标资格限制期内的投标限制处罚。</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lang w:val="en-US" w:eastAsia="zh-CN"/>
        </w:rPr>
        <w:t>5</w:t>
      </w:r>
      <w:r>
        <w:rPr>
          <w:rFonts w:hint="eastAsia" w:ascii="宋体" w:hAnsi="宋体"/>
          <w:sz w:val="24"/>
          <w:szCs w:val="24"/>
          <w:highlight w:val="none"/>
          <w:shd w:val="clear" w:color="auto" w:fill="FFFFFF"/>
        </w:rPr>
        <w:t>、本次招标不接受联合体投标。</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十二、招标范围：征集不超过 14 家符合条件的供应商</w:t>
      </w:r>
      <w:r>
        <w:rPr>
          <w:rFonts w:hint="eastAsia" w:ascii="宋体" w:hAnsi="宋体"/>
          <w:sz w:val="24"/>
          <w:szCs w:val="24"/>
          <w:highlight w:val="none"/>
          <w:shd w:val="clear" w:color="auto" w:fill="FFFFFF"/>
          <w:lang w:val="en-US" w:eastAsia="zh-CN"/>
        </w:rPr>
        <w:t>与</w:t>
      </w:r>
      <w:r>
        <w:rPr>
          <w:rFonts w:hint="eastAsia" w:ascii="宋体" w:hAnsi="宋体"/>
          <w:sz w:val="24"/>
          <w:szCs w:val="24"/>
          <w:highlight w:val="none"/>
          <w:shd w:val="clear" w:color="auto" w:fill="FFFFFF"/>
        </w:rPr>
        <w:t>安徽兴叶工程咨询有限公司</w:t>
      </w:r>
      <w:r>
        <w:rPr>
          <w:rFonts w:hint="eastAsia" w:ascii="宋体" w:hAnsi="宋体"/>
          <w:sz w:val="24"/>
          <w:szCs w:val="24"/>
          <w:highlight w:val="none"/>
          <w:shd w:val="clear" w:color="auto" w:fill="FFFFFF"/>
          <w:lang w:val="en-US" w:eastAsia="zh-CN"/>
        </w:rPr>
        <w:t>合作，</w:t>
      </w:r>
      <w:r>
        <w:rPr>
          <w:rFonts w:hint="eastAsia" w:ascii="宋体" w:hAnsi="宋体"/>
          <w:sz w:val="24"/>
          <w:szCs w:val="24"/>
          <w:highlight w:val="none"/>
          <w:shd w:val="clear" w:color="auto" w:fill="FFFFFF"/>
        </w:rPr>
        <w:t>从事相关</w:t>
      </w:r>
      <w:r>
        <w:rPr>
          <w:rFonts w:hint="eastAsia" w:ascii="宋体" w:hAnsi="宋体"/>
          <w:sz w:val="24"/>
          <w:szCs w:val="24"/>
          <w:highlight w:val="none"/>
          <w:shd w:val="clear" w:color="auto" w:fill="FFFFFF"/>
          <w:lang w:val="en-US" w:eastAsia="zh-CN"/>
        </w:rPr>
        <w:t>项目的</w:t>
      </w:r>
      <w:r>
        <w:rPr>
          <w:rFonts w:hint="eastAsia" w:ascii="宋体" w:hAnsi="宋体"/>
          <w:sz w:val="24"/>
          <w:szCs w:val="24"/>
          <w:highlight w:val="none"/>
          <w:shd w:val="clear" w:color="auto" w:fill="FFFFFF"/>
        </w:rPr>
        <w:t>招标、采购、造价咨询服务(含工程量清单及控制价编制)，具体规则详见第五章内容。</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十三、标段数：1个。</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十四、公告发布时间：</w:t>
      </w:r>
      <w:r>
        <w:rPr>
          <w:rFonts w:ascii="宋体" w:hAnsi="宋体"/>
          <w:sz w:val="24"/>
          <w:szCs w:val="24"/>
          <w:highlight w:val="none"/>
          <w:shd w:val="clear" w:color="auto" w:fill="FFFFFF"/>
        </w:rPr>
        <w:t>2021年1</w:t>
      </w:r>
      <w:r>
        <w:rPr>
          <w:rFonts w:hint="eastAsia" w:ascii="宋体" w:hAnsi="宋体"/>
          <w:sz w:val="24"/>
          <w:szCs w:val="24"/>
          <w:highlight w:val="none"/>
          <w:shd w:val="clear" w:color="auto" w:fill="FFFFFF"/>
          <w:lang w:val="en-US" w:eastAsia="zh-CN"/>
        </w:rPr>
        <w:t>1</w:t>
      </w:r>
      <w:r>
        <w:rPr>
          <w:rFonts w:ascii="宋体" w:hAnsi="宋体"/>
          <w:sz w:val="24"/>
          <w:szCs w:val="24"/>
          <w:highlight w:val="none"/>
          <w:shd w:val="clear" w:color="auto" w:fill="FFFFFF"/>
        </w:rPr>
        <w:t>月</w:t>
      </w:r>
      <w:r>
        <w:rPr>
          <w:rFonts w:hint="eastAsia" w:ascii="宋体" w:hAnsi="宋体"/>
          <w:sz w:val="24"/>
          <w:szCs w:val="24"/>
          <w:highlight w:val="none"/>
          <w:shd w:val="clear" w:color="auto" w:fill="FFFFFF"/>
          <w:lang w:val="en-US" w:eastAsia="zh-CN"/>
        </w:rPr>
        <w:t>2</w:t>
      </w:r>
      <w:r>
        <w:rPr>
          <w:rFonts w:hint="eastAsia" w:ascii="宋体" w:hAnsi="宋体"/>
          <w:sz w:val="24"/>
          <w:szCs w:val="24"/>
          <w:highlight w:val="none"/>
          <w:shd w:val="clear" w:color="auto" w:fill="FFFFFF"/>
        </w:rPr>
        <w:t>日</w:t>
      </w:r>
    </w:p>
    <w:p>
      <w:pPr>
        <w:spacing w:line="520" w:lineRule="exact"/>
        <w:ind w:firstLine="480" w:firstLineChars="200"/>
        <w:rPr>
          <w:rFonts w:ascii="宋体" w:hAnsi="宋体" w:cs="宋体"/>
          <w:sz w:val="24"/>
          <w:szCs w:val="24"/>
          <w:highlight w:val="none"/>
          <w:u w:val="single"/>
        </w:rPr>
      </w:pPr>
      <w:r>
        <w:rPr>
          <w:rFonts w:hint="eastAsia" w:ascii="宋体" w:hAnsi="宋体"/>
          <w:sz w:val="24"/>
          <w:szCs w:val="24"/>
          <w:highlight w:val="none"/>
          <w:shd w:val="clear" w:color="auto" w:fill="FFFFFF"/>
        </w:rPr>
        <w:t>十五、公告发布媒介：</w:t>
      </w:r>
      <w:r>
        <w:rPr>
          <w:rFonts w:hint="eastAsia" w:ascii="宋体" w:hAnsi="宋体" w:cs="宋体"/>
          <w:sz w:val="24"/>
          <w:szCs w:val="24"/>
          <w:highlight w:val="none"/>
        </w:rPr>
        <w:t>六安市公共资源交易电子服务系统（</w:t>
      </w:r>
      <w:r>
        <w:rPr>
          <w:highlight w:val="none"/>
        </w:rPr>
        <w:fldChar w:fldCharType="begin"/>
      </w:r>
      <w:r>
        <w:rPr>
          <w:highlight w:val="none"/>
        </w:rPr>
        <w:instrText xml:space="preserve"> HYPERLINK "http://ggjfwpt.luan.gov.cn/" </w:instrText>
      </w:r>
      <w:r>
        <w:rPr>
          <w:highlight w:val="none"/>
        </w:rPr>
        <w:fldChar w:fldCharType="separate"/>
      </w:r>
      <w:r>
        <w:rPr>
          <w:rFonts w:hint="eastAsia" w:ascii="宋体" w:hAnsi="宋体" w:cs="宋体"/>
          <w:sz w:val="24"/>
          <w:szCs w:val="24"/>
          <w:highlight w:val="none"/>
        </w:rPr>
        <w:t>http://ggzy.luan.gov.cn</w:t>
      </w:r>
      <w:r>
        <w:rPr>
          <w:rFonts w:hint="eastAsia" w:ascii="宋体" w:hAnsi="宋体" w:cs="宋体"/>
          <w:sz w:val="24"/>
          <w:szCs w:val="24"/>
          <w:highlight w:val="none"/>
        </w:rPr>
        <w:fldChar w:fldCharType="end"/>
      </w:r>
      <w:r>
        <w:rPr>
          <w:rFonts w:hint="eastAsia" w:ascii="宋体" w:hAnsi="宋体" w:cs="宋体"/>
          <w:sz w:val="24"/>
          <w:szCs w:val="24"/>
          <w:highlight w:val="none"/>
        </w:rPr>
        <w:t>）</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 xml:space="preserve">十六、项目开标时间： </w:t>
      </w:r>
      <w:r>
        <w:rPr>
          <w:rFonts w:ascii="宋体" w:hAnsi="宋体"/>
          <w:sz w:val="24"/>
          <w:szCs w:val="24"/>
          <w:highlight w:val="none"/>
          <w:shd w:val="clear" w:color="auto" w:fill="FFFFFF"/>
        </w:rPr>
        <w:t>2021年1</w:t>
      </w:r>
      <w:r>
        <w:rPr>
          <w:rFonts w:hint="eastAsia" w:ascii="宋体" w:hAnsi="宋体"/>
          <w:sz w:val="24"/>
          <w:szCs w:val="24"/>
          <w:highlight w:val="none"/>
          <w:shd w:val="clear" w:color="auto" w:fill="FFFFFF"/>
          <w:lang w:val="en-US" w:eastAsia="zh-CN"/>
        </w:rPr>
        <w:t>1</w:t>
      </w:r>
      <w:r>
        <w:rPr>
          <w:rFonts w:ascii="宋体" w:hAnsi="宋体"/>
          <w:sz w:val="24"/>
          <w:szCs w:val="24"/>
          <w:highlight w:val="none"/>
          <w:shd w:val="clear" w:color="auto" w:fill="FFFFFF"/>
        </w:rPr>
        <w:t>月</w:t>
      </w:r>
      <w:r>
        <w:rPr>
          <w:rFonts w:hint="eastAsia" w:ascii="宋体" w:hAnsi="宋体"/>
          <w:sz w:val="24"/>
          <w:szCs w:val="24"/>
          <w:highlight w:val="none"/>
          <w:shd w:val="clear" w:color="auto" w:fill="FFFFFF"/>
          <w:lang w:val="en-US" w:eastAsia="zh-CN"/>
        </w:rPr>
        <w:t>24</w:t>
      </w:r>
      <w:r>
        <w:rPr>
          <w:rFonts w:hint="eastAsia" w:ascii="宋体" w:hAnsi="宋体"/>
          <w:sz w:val="24"/>
          <w:szCs w:val="24"/>
          <w:highlight w:val="none"/>
          <w:shd w:val="clear" w:color="auto" w:fill="FFFFFF"/>
        </w:rPr>
        <w:t>日</w:t>
      </w:r>
      <w:r>
        <w:rPr>
          <w:rFonts w:ascii="宋体" w:hAnsi="宋体"/>
          <w:sz w:val="24"/>
          <w:szCs w:val="24"/>
          <w:highlight w:val="none"/>
          <w:shd w:val="clear" w:color="auto" w:fill="FFFFFF"/>
        </w:rPr>
        <w:t>10时00分</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十七、招标文件获取及费用支付方式：</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1、获取时间：</w:t>
      </w:r>
      <w:r>
        <w:rPr>
          <w:rFonts w:ascii="宋体" w:hAnsi="宋体"/>
          <w:sz w:val="24"/>
          <w:szCs w:val="24"/>
          <w:highlight w:val="none"/>
          <w:shd w:val="clear" w:color="auto" w:fill="FFFFFF"/>
        </w:rPr>
        <w:t>2021年1</w:t>
      </w:r>
      <w:r>
        <w:rPr>
          <w:rFonts w:hint="eastAsia" w:ascii="宋体" w:hAnsi="宋体"/>
          <w:sz w:val="24"/>
          <w:szCs w:val="24"/>
          <w:highlight w:val="none"/>
          <w:shd w:val="clear" w:color="auto" w:fill="FFFFFF"/>
          <w:lang w:val="en-US" w:eastAsia="zh-CN"/>
        </w:rPr>
        <w:t>1</w:t>
      </w:r>
      <w:r>
        <w:rPr>
          <w:rFonts w:ascii="宋体" w:hAnsi="宋体"/>
          <w:sz w:val="24"/>
          <w:szCs w:val="24"/>
          <w:highlight w:val="none"/>
          <w:shd w:val="clear" w:color="auto" w:fill="FFFFFF"/>
        </w:rPr>
        <w:t>月</w:t>
      </w:r>
      <w:r>
        <w:rPr>
          <w:rFonts w:hint="eastAsia" w:ascii="宋体" w:hAnsi="宋体"/>
          <w:sz w:val="24"/>
          <w:szCs w:val="24"/>
          <w:highlight w:val="none"/>
          <w:shd w:val="clear" w:color="auto" w:fill="FFFFFF"/>
          <w:lang w:val="en-US" w:eastAsia="zh-CN"/>
        </w:rPr>
        <w:t>2</w:t>
      </w:r>
      <w:r>
        <w:rPr>
          <w:rFonts w:hint="eastAsia" w:ascii="宋体" w:hAnsi="宋体"/>
          <w:sz w:val="24"/>
          <w:szCs w:val="24"/>
          <w:highlight w:val="none"/>
          <w:shd w:val="clear" w:color="auto" w:fill="FFFFFF"/>
        </w:rPr>
        <w:t>日至</w:t>
      </w:r>
      <w:r>
        <w:rPr>
          <w:rFonts w:ascii="宋体" w:hAnsi="宋体"/>
          <w:sz w:val="24"/>
          <w:szCs w:val="24"/>
          <w:highlight w:val="none"/>
          <w:shd w:val="clear" w:color="auto" w:fill="FFFFFF"/>
        </w:rPr>
        <w:t xml:space="preserve"> 2021年1</w:t>
      </w:r>
      <w:r>
        <w:rPr>
          <w:rFonts w:hint="eastAsia" w:ascii="宋体" w:hAnsi="宋体"/>
          <w:sz w:val="24"/>
          <w:szCs w:val="24"/>
          <w:highlight w:val="none"/>
          <w:shd w:val="clear" w:color="auto" w:fill="FFFFFF"/>
          <w:lang w:val="en-US" w:eastAsia="zh-CN"/>
        </w:rPr>
        <w:t>1</w:t>
      </w:r>
      <w:r>
        <w:rPr>
          <w:rFonts w:ascii="宋体" w:hAnsi="宋体"/>
          <w:sz w:val="24"/>
          <w:szCs w:val="24"/>
          <w:highlight w:val="none"/>
          <w:shd w:val="clear" w:color="auto" w:fill="FFFFFF"/>
        </w:rPr>
        <w:t>月</w:t>
      </w:r>
      <w:r>
        <w:rPr>
          <w:rFonts w:hint="eastAsia" w:ascii="宋体" w:hAnsi="宋体"/>
          <w:sz w:val="24"/>
          <w:szCs w:val="24"/>
          <w:highlight w:val="none"/>
          <w:shd w:val="clear" w:color="auto" w:fill="FFFFFF"/>
          <w:lang w:val="en-US" w:eastAsia="zh-CN"/>
        </w:rPr>
        <w:t>24</w:t>
      </w:r>
      <w:r>
        <w:rPr>
          <w:rFonts w:hint="eastAsia" w:ascii="宋体" w:hAnsi="宋体"/>
          <w:sz w:val="24"/>
          <w:szCs w:val="24"/>
          <w:highlight w:val="none"/>
          <w:shd w:val="clear" w:color="auto" w:fill="FFFFFF"/>
        </w:rPr>
        <w:t>日</w:t>
      </w:r>
      <w:r>
        <w:rPr>
          <w:rFonts w:ascii="宋体" w:hAnsi="宋体"/>
          <w:sz w:val="24"/>
          <w:szCs w:val="24"/>
          <w:highlight w:val="none"/>
          <w:shd w:val="clear" w:color="auto" w:fill="FFFFFF"/>
        </w:rPr>
        <w:t>1</w:t>
      </w:r>
      <w:r>
        <w:rPr>
          <w:rFonts w:hint="eastAsia" w:ascii="宋体" w:hAnsi="宋体"/>
          <w:sz w:val="24"/>
          <w:szCs w:val="24"/>
          <w:highlight w:val="none"/>
          <w:shd w:val="clear" w:color="auto" w:fill="FFFFFF"/>
          <w:lang w:val="en-US" w:eastAsia="zh-CN"/>
        </w:rPr>
        <w:t>0</w:t>
      </w:r>
      <w:r>
        <w:rPr>
          <w:rFonts w:ascii="宋体" w:hAnsi="宋体"/>
          <w:sz w:val="24"/>
          <w:szCs w:val="24"/>
          <w:highlight w:val="none"/>
          <w:shd w:val="clear" w:color="auto" w:fill="FFFFFF"/>
        </w:rPr>
        <w:t>时00分</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2、费用支付：网上免费下载（含图纸、答疑澄清文件等）</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十八、资格审查方式：资格后审</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十九、评标办法： 综合评</w:t>
      </w:r>
      <w:r>
        <w:rPr>
          <w:rFonts w:hint="eastAsia" w:ascii="宋体" w:hAnsi="宋体"/>
          <w:sz w:val="24"/>
          <w:szCs w:val="24"/>
          <w:highlight w:val="none"/>
          <w:shd w:val="clear" w:color="auto" w:fill="FFFFFF"/>
          <w:lang w:val="en-US" w:eastAsia="zh-CN"/>
        </w:rPr>
        <w:t>分</w:t>
      </w:r>
      <w:r>
        <w:rPr>
          <w:rFonts w:hint="eastAsia" w:ascii="宋体" w:hAnsi="宋体"/>
          <w:sz w:val="24"/>
          <w:szCs w:val="24"/>
          <w:highlight w:val="none"/>
          <w:shd w:val="clear" w:color="auto" w:fill="FFFFFF"/>
        </w:rPr>
        <w:t>法</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二十、其他注意事项：</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1、投标人应具有独立法人资格，投标文件所报的项目班子组成人员必须是本单位的人员。</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2、本项目每个投标人仅确定一名授权委托人参加开标会议，授权委托人需出示本人二代居民身份证原件（不能出示二代身份证的，应提供户籍所在地公安机关出具的证明原件</w:t>
      </w:r>
      <w:r>
        <w:rPr>
          <w:rFonts w:hint="eastAsia" w:ascii="宋体" w:hAnsi="宋体"/>
          <w:b w:val="0"/>
          <w:bCs w:val="0"/>
          <w:sz w:val="24"/>
          <w:szCs w:val="24"/>
          <w:highlight w:val="none"/>
          <w:shd w:val="clear" w:color="auto" w:fill="FFFFFF"/>
        </w:rPr>
        <w:t>）、</w:t>
      </w:r>
      <w:r>
        <w:rPr>
          <w:rFonts w:hint="eastAsia" w:ascii="宋体" w:hAnsi="宋体"/>
          <w:b w:val="0"/>
          <w:bCs w:val="0"/>
          <w:sz w:val="24"/>
          <w:szCs w:val="24"/>
          <w:highlight w:val="none"/>
          <w:shd w:val="clear" w:color="auto" w:fill="FFFFFF"/>
          <w:lang w:val="en-US" w:eastAsia="zh-CN"/>
        </w:rPr>
        <w:t>投标保证金回执单、</w:t>
      </w:r>
      <w:r>
        <w:rPr>
          <w:rFonts w:hint="eastAsia" w:ascii="宋体" w:hAnsi="宋体"/>
          <w:b w:val="0"/>
          <w:bCs w:val="0"/>
          <w:sz w:val="24"/>
          <w:szCs w:val="24"/>
          <w:highlight w:val="none"/>
          <w:shd w:val="clear" w:color="auto" w:fill="FFFFFF"/>
        </w:rPr>
        <w:t>有效</w:t>
      </w:r>
      <w:r>
        <w:rPr>
          <w:rFonts w:hint="eastAsia" w:ascii="宋体" w:hAnsi="宋体"/>
          <w:sz w:val="24"/>
          <w:szCs w:val="24"/>
          <w:highlight w:val="none"/>
          <w:shd w:val="clear" w:color="auto" w:fill="FFFFFF"/>
        </w:rPr>
        <w:t>的授权委托书原件和本人新冠病毒疫苗接种记录（接种记录为“安康码”内疫苗接种信息或接种证明，若是有疫苗接种禁忌症人员须提供新冠病毒疫苗接种禁忌证明）和本人7日内（核酸检测证明出具日期必须在本项目投标截止日前7日内）的核酸检测阴性证明，同时出示疫情防控情况承诺书原件及本人持有的“安康码”。凡不能出示上述有效证件或到场人员与证件载明的人员不一致或未出席开标会议者，投标文件不予接受，投标资格无效。</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3、本项目实行投标保证金制度和履约保证金制度，投标保证金为人民币叁万元整；投标人中标后应缴纳履约保证金。投标保证金缴纳账户如下：</w:t>
      </w:r>
    </w:p>
    <w:p>
      <w:pPr>
        <w:spacing w:line="500" w:lineRule="exact"/>
        <w:ind w:firstLine="480" w:firstLineChars="200"/>
        <w:rPr>
          <w:rFonts w:hint="default" w:ascii="宋体" w:hAnsi="宋体" w:eastAsia="宋体"/>
          <w:sz w:val="24"/>
          <w:szCs w:val="24"/>
          <w:highlight w:val="none"/>
          <w:shd w:val="clear" w:color="auto" w:fill="FFFFFF"/>
          <w:lang w:val="en-US" w:eastAsia="zh-CN"/>
        </w:rPr>
      </w:pPr>
      <w:r>
        <w:rPr>
          <w:rFonts w:hint="eastAsia" w:ascii="宋体" w:hAnsi="宋体"/>
          <w:sz w:val="24"/>
          <w:szCs w:val="24"/>
          <w:highlight w:val="none"/>
          <w:shd w:val="clear" w:color="auto" w:fill="FFFFFF"/>
          <w:lang w:val="en-US" w:eastAsia="zh-CN"/>
        </w:rPr>
        <w:t>账户一：</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开户行：安徽叶集农村商业银行股份有限公司</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开户名：六安市叶集区公共资源交易中心</w:t>
      </w:r>
    </w:p>
    <w:p>
      <w:pPr>
        <w:spacing w:line="500" w:lineRule="exact"/>
        <w:ind w:firstLine="480" w:firstLineChars="200"/>
        <w:rPr>
          <w:rFonts w:hint="eastAsia" w:ascii="宋体" w:hAnsi="宋体"/>
          <w:sz w:val="24"/>
          <w:szCs w:val="24"/>
          <w:highlight w:val="none"/>
          <w:shd w:val="clear" w:color="auto" w:fill="FFFFFF"/>
          <w:lang w:val="en-US" w:eastAsia="zh-CN"/>
        </w:rPr>
      </w:pPr>
      <w:r>
        <w:rPr>
          <w:rFonts w:hint="eastAsia" w:ascii="宋体" w:hAnsi="宋体"/>
          <w:sz w:val="24"/>
          <w:szCs w:val="24"/>
          <w:highlight w:val="none"/>
          <w:shd w:val="clear" w:color="auto" w:fill="FFFFFF"/>
        </w:rPr>
        <w:t>账</w:t>
      </w:r>
      <w:r>
        <w:rPr>
          <w:rFonts w:ascii="宋体" w:hAnsi="宋体"/>
          <w:sz w:val="24"/>
          <w:szCs w:val="24"/>
          <w:highlight w:val="none"/>
          <w:shd w:val="clear" w:color="auto" w:fill="FFFFFF"/>
        </w:rPr>
        <w:t xml:space="preserve">  </w:t>
      </w:r>
      <w:r>
        <w:rPr>
          <w:rFonts w:hint="eastAsia" w:ascii="宋体" w:hAnsi="宋体"/>
          <w:sz w:val="24"/>
          <w:szCs w:val="24"/>
          <w:highlight w:val="none"/>
          <w:shd w:val="clear" w:color="auto" w:fill="FFFFFF"/>
          <w:lang w:val="en-US" w:eastAsia="zh-CN"/>
        </w:rPr>
        <w:t>号</w:t>
      </w:r>
      <w:r>
        <w:rPr>
          <w:rFonts w:ascii="宋体" w:hAnsi="宋体"/>
          <w:sz w:val="24"/>
          <w:szCs w:val="24"/>
          <w:highlight w:val="none"/>
          <w:shd w:val="clear" w:color="auto" w:fill="FFFFFF"/>
        </w:rPr>
        <w:t>：</w:t>
      </w:r>
      <w:r>
        <w:rPr>
          <w:rFonts w:hint="eastAsia" w:ascii="宋体" w:hAnsi="宋体"/>
          <w:sz w:val="24"/>
          <w:szCs w:val="24"/>
          <w:highlight w:val="none"/>
          <w:shd w:val="clear" w:color="auto" w:fill="FFFFFF"/>
          <w:lang w:val="en-US" w:eastAsia="zh-CN"/>
        </w:rPr>
        <w:t>20010050622466600000031</w:t>
      </w:r>
    </w:p>
    <w:p>
      <w:pPr>
        <w:spacing w:line="500" w:lineRule="exact"/>
        <w:ind w:firstLine="480" w:firstLineChars="200"/>
        <w:rPr>
          <w:rFonts w:hint="default" w:ascii="宋体" w:hAnsi="宋体" w:eastAsia="宋体"/>
          <w:sz w:val="24"/>
          <w:szCs w:val="24"/>
          <w:highlight w:val="none"/>
          <w:shd w:val="clear" w:color="auto" w:fill="FFFFFF"/>
          <w:lang w:val="en-US" w:eastAsia="zh-CN"/>
        </w:rPr>
      </w:pPr>
      <w:r>
        <w:rPr>
          <w:rFonts w:hint="eastAsia" w:ascii="宋体" w:hAnsi="宋体"/>
          <w:sz w:val="24"/>
          <w:szCs w:val="24"/>
          <w:highlight w:val="none"/>
          <w:shd w:val="clear" w:color="auto" w:fill="FFFFFF"/>
          <w:lang w:val="en-US" w:eastAsia="zh-CN"/>
        </w:rPr>
        <w:t>账户二：</w:t>
      </w:r>
    </w:p>
    <w:p>
      <w:pPr>
        <w:spacing w:line="500" w:lineRule="exact"/>
        <w:ind w:firstLine="480" w:firstLineChars="200"/>
        <w:rPr>
          <w:rFonts w:hint="default" w:ascii="宋体" w:hAnsi="宋体" w:eastAsia="宋体"/>
          <w:sz w:val="24"/>
          <w:szCs w:val="24"/>
          <w:highlight w:val="none"/>
          <w:shd w:val="clear" w:color="auto" w:fill="FFFFFF"/>
          <w:lang w:val="en-US" w:eastAsia="zh-CN"/>
        </w:rPr>
      </w:pPr>
      <w:r>
        <w:rPr>
          <w:rFonts w:hint="eastAsia" w:ascii="宋体" w:hAnsi="宋体"/>
          <w:sz w:val="24"/>
          <w:szCs w:val="24"/>
          <w:highlight w:val="none"/>
          <w:shd w:val="clear" w:color="auto" w:fill="FFFFFF"/>
        </w:rPr>
        <w:t>开户行：</w:t>
      </w:r>
      <w:r>
        <w:rPr>
          <w:rFonts w:hint="eastAsia" w:ascii="宋体" w:hAnsi="宋体"/>
          <w:sz w:val="24"/>
          <w:szCs w:val="24"/>
          <w:highlight w:val="none"/>
          <w:shd w:val="clear" w:color="auto" w:fill="FFFFFF"/>
          <w:lang w:val="en-US" w:eastAsia="zh-CN"/>
        </w:rPr>
        <w:t>徽商银行股份有限公司六安叶集支行</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开户名：六安市叶集区公共资源交易中心</w:t>
      </w:r>
    </w:p>
    <w:p>
      <w:pPr>
        <w:spacing w:line="500" w:lineRule="exact"/>
        <w:ind w:firstLine="480" w:firstLineChars="200"/>
        <w:rPr>
          <w:rFonts w:hint="default"/>
          <w:highlight w:val="none"/>
          <w:lang w:val="en-US" w:eastAsia="zh-CN"/>
        </w:rPr>
      </w:pPr>
      <w:r>
        <w:rPr>
          <w:rFonts w:hint="eastAsia" w:ascii="宋体" w:hAnsi="宋体"/>
          <w:sz w:val="24"/>
          <w:szCs w:val="24"/>
          <w:highlight w:val="none"/>
          <w:shd w:val="clear" w:color="auto" w:fill="FFFFFF"/>
        </w:rPr>
        <w:t>账</w:t>
      </w:r>
      <w:r>
        <w:rPr>
          <w:rFonts w:ascii="宋体" w:hAnsi="宋体"/>
          <w:sz w:val="24"/>
          <w:szCs w:val="24"/>
          <w:highlight w:val="none"/>
          <w:shd w:val="clear" w:color="auto" w:fill="FFFFFF"/>
        </w:rPr>
        <w:t xml:space="preserve">  </w:t>
      </w:r>
      <w:r>
        <w:rPr>
          <w:rFonts w:hint="eastAsia" w:ascii="宋体" w:hAnsi="宋体"/>
          <w:sz w:val="24"/>
          <w:szCs w:val="24"/>
          <w:highlight w:val="none"/>
          <w:shd w:val="clear" w:color="auto" w:fill="FFFFFF"/>
          <w:lang w:val="en-US" w:eastAsia="zh-CN"/>
        </w:rPr>
        <w:t>号</w:t>
      </w:r>
      <w:r>
        <w:rPr>
          <w:rFonts w:ascii="宋体" w:hAnsi="宋体"/>
          <w:sz w:val="24"/>
          <w:szCs w:val="24"/>
          <w:highlight w:val="none"/>
          <w:shd w:val="clear" w:color="auto" w:fill="FFFFFF"/>
        </w:rPr>
        <w:t>：</w:t>
      </w:r>
      <w:r>
        <w:rPr>
          <w:rFonts w:hint="eastAsia" w:ascii="宋体" w:hAnsi="宋体"/>
          <w:sz w:val="24"/>
          <w:szCs w:val="24"/>
          <w:highlight w:val="none"/>
          <w:shd w:val="clear" w:color="auto" w:fill="FFFFFF"/>
          <w:lang w:val="en-US" w:eastAsia="zh-CN"/>
        </w:rPr>
        <w:t>1761901021000079786</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4、本项目招标文件（含图纸、答疑澄清文件等）均从六安市公共资源交易平台电子服务系统下载。</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5、投标人提出疑问应当隐藏投标人所有信息并在网上(六安市公共资源交易电子服务系统)提出，投标人网上提出问题截止时间为</w:t>
      </w:r>
      <w:r>
        <w:rPr>
          <w:rFonts w:ascii="宋体" w:hAnsi="宋体"/>
          <w:sz w:val="24"/>
          <w:szCs w:val="24"/>
          <w:highlight w:val="none"/>
          <w:shd w:val="clear" w:color="auto" w:fill="FFFFFF"/>
        </w:rPr>
        <w:t>2021年1</w:t>
      </w:r>
      <w:r>
        <w:rPr>
          <w:rFonts w:hint="eastAsia" w:ascii="宋体" w:hAnsi="宋体"/>
          <w:sz w:val="24"/>
          <w:szCs w:val="24"/>
          <w:highlight w:val="none"/>
          <w:shd w:val="clear" w:color="auto" w:fill="FFFFFF"/>
          <w:lang w:val="en-US" w:eastAsia="zh-CN"/>
        </w:rPr>
        <w:t>1</w:t>
      </w:r>
      <w:r>
        <w:rPr>
          <w:rFonts w:ascii="宋体" w:hAnsi="宋体"/>
          <w:sz w:val="24"/>
          <w:szCs w:val="24"/>
          <w:highlight w:val="none"/>
          <w:shd w:val="clear" w:color="auto" w:fill="FFFFFF"/>
        </w:rPr>
        <w:t>月</w:t>
      </w:r>
      <w:r>
        <w:rPr>
          <w:rFonts w:hint="eastAsia" w:ascii="宋体" w:hAnsi="宋体"/>
          <w:sz w:val="24"/>
          <w:szCs w:val="24"/>
          <w:highlight w:val="none"/>
          <w:shd w:val="clear" w:color="auto" w:fill="FFFFFF"/>
          <w:lang w:val="en-US" w:eastAsia="zh-CN"/>
        </w:rPr>
        <w:t>7</w:t>
      </w:r>
      <w:r>
        <w:rPr>
          <w:rFonts w:hint="eastAsia" w:ascii="宋体" w:hAnsi="宋体"/>
          <w:sz w:val="24"/>
          <w:szCs w:val="24"/>
          <w:highlight w:val="none"/>
          <w:shd w:val="clear" w:color="auto" w:fill="FFFFFF"/>
        </w:rPr>
        <w:t>日</w:t>
      </w:r>
      <w:r>
        <w:rPr>
          <w:rFonts w:ascii="宋体" w:hAnsi="宋体"/>
          <w:sz w:val="24"/>
          <w:szCs w:val="24"/>
          <w:highlight w:val="none"/>
          <w:shd w:val="clear" w:color="auto" w:fill="FFFFFF"/>
        </w:rPr>
        <w:t>17时</w:t>
      </w:r>
      <w:r>
        <w:rPr>
          <w:rFonts w:hint="eastAsia" w:ascii="宋体" w:hAnsi="宋体"/>
          <w:sz w:val="24"/>
          <w:szCs w:val="24"/>
          <w:highlight w:val="none"/>
          <w:shd w:val="clear" w:color="auto" w:fill="FFFFFF"/>
        </w:rPr>
        <w:t>00分，招标人网上集中统一答疑时间为</w:t>
      </w:r>
      <w:r>
        <w:rPr>
          <w:rFonts w:ascii="宋体" w:hAnsi="宋体"/>
          <w:sz w:val="24"/>
          <w:szCs w:val="24"/>
          <w:highlight w:val="none"/>
          <w:shd w:val="clear" w:color="auto" w:fill="FFFFFF"/>
        </w:rPr>
        <w:t>2021年1</w:t>
      </w:r>
      <w:r>
        <w:rPr>
          <w:rFonts w:hint="eastAsia" w:ascii="宋体" w:hAnsi="宋体"/>
          <w:sz w:val="24"/>
          <w:szCs w:val="24"/>
          <w:highlight w:val="none"/>
          <w:shd w:val="clear" w:color="auto" w:fill="FFFFFF"/>
          <w:lang w:val="en-US" w:eastAsia="zh-CN"/>
        </w:rPr>
        <w:t>1</w:t>
      </w:r>
      <w:r>
        <w:rPr>
          <w:rFonts w:ascii="宋体" w:hAnsi="宋体"/>
          <w:sz w:val="24"/>
          <w:szCs w:val="24"/>
          <w:highlight w:val="none"/>
          <w:shd w:val="clear" w:color="auto" w:fill="FFFFFF"/>
        </w:rPr>
        <w:t>月</w:t>
      </w:r>
      <w:r>
        <w:rPr>
          <w:rFonts w:hint="eastAsia" w:ascii="宋体" w:hAnsi="宋体"/>
          <w:sz w:val="24"/>
          <w:szCs w:val="24"/>
          <w:highlight w:val="none"/>
          <w:shd w:val="clear" w:color="auto" w:fill="FFFFFF"/>
          <w:lang w:val="en-US" w:eastAsia="zh-CN"/>
        </w:rPr>
        <w:t>8</w:t>
      </w:r>
      <w:r>
        <w:rPr>
          <w:rFonts w:hint="eastAsia" w:ascii="宋体" w:hAnsi="宋体"/>
          <w:sz w:val="24"/>
          <w:szCs w:val="24"/>
          <w:highlight w:val="none"/>
          <w:shd w:val="clear" w:color="auto" w:fill="FFFFFF"/>
        </w:rPr>
        <w:t>日，开标时间与投标文件递交截止时间为同一时间即</w:t>
      </w:r>
      <w:r>
        <w:rPr>
          <w:rFonts w:ascii="宋体" w:hAnsi="宋体"/>
          <w:sz w:val="24"/>
          <w:szCs w:val="24"/>
          <w:highlight w:val="none"/>
          <w:shd w:val="clear" w:color="auto" w:fill="FFFFFF"/>
        </w:rPr>
        <w:t>2021年1</w:t>
      </w:r>
      <w:r>
        <w:rPr>
          <w:rFonts w:hint="eastAsia" w:ascii="宋体" w:hAnsi="宋体"/>
          <w:sz w:val="24"/>
          <w:szCs w:val="24"/>
          <w:highlight w:val="none"/>
          <w:shd w:val="clear" w:color="auto" w:fill="FFFFFF"/>
          <w:lang w:val="en-US" w:eastAsia="zh-CN"/>
        </w:rPr>
        <w:t>1</w:t>
      </w:r>
      <w:r>
        <w:rPr>
          <w:rFonts w:ascii="宋体" w:hAnsi="宋体"/>
          <w:sz w:val="24"/>
          <w:szCs w:val="24"/>
          <w:highlight w:val="none"/>
          <w:shd w:val="clear" w:color="auto" w:fill="FFFFFF"/>
        </w:rPr>
        <w:t>月</w:t>
      </w:r>
      <w:r>
        <w:rPr>
          <w:rFonts w:hint="eastAsia" w:ascii="宋体" w:hAnsi="宋体"/>
          <w:sz w:val="24"/>
          <w:szCs w:val="24"/>
          <w:highlight w:val="none"/>
          <w:shd w:val="clear" w:color="auto" w:fill="FFFFFF"/>
          <w:lang w:val="en-US" w:eastAsia="zh-CN"/>
        </w:rPr>
        <w:t>24</w:t>
      </w:r>
      <w:r>
        <w:rPr>
          <w:rFonts w:hint="eastAsia" w:ascii="宋体" w:hAnsi="宋体"/>
          <w:sz w:val="24"/>
          <w:szCs w:val="24"/>
          <w:highlight w:val="none"/>
          <w:shd w:val="clear" w:color="auto" w:fill="FFFFFF"/>
        </w:rPr>
        <w:t>日</w:t>
      </w:r>
      <w:r>
        <w:rPr>
          <w:rFonts w:ascii="宋体" w:hAnsi="宋体"/>
          <w:sz w:val="24"/>
          <w:szCs w:val="24"/>
          <w:highlight w:val="none"/>
          <w:shd w:val="clear" w:color="auto" w:fill="FFFFFF"/>
        </w:rPr>
        <w:t>10时00分。</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投标文件递交地点及开标地点：六安市叶集区兴叶大道与民生路交汇处东南角社保大楼</w:t>
      </w:r>
      <w:r>
        <w:rPr>
          <w:rFonts w:ascii="宋体" w:hAnsi="宋体"/>
          <w:sz w:val="24"/>
          <w:szCs w:val="24"/>
          <w:highlight w:val="none"/>
          <w:shd w:val="clear" w:color="auto" w:fill="FFFFFF"/>
        </w:rPr>
        <w:t>4楼开标</w:t>
      </w:r>
      <w:r>
        <w:rPr>
          <w:rFonts w:hint="eastAsia" w:ascii="宋体" w:hAnsi="宋体"/>
          <w:sz w:val="24"/>
          <w:szCs w:val="24"/>
          <w:highlight w:val="none"/>
          <w:shd w:val="clear" w:color="auto" w:fill="FFFFFF"/>
          <w:lang w:val="en-US" w:eastAsia="zh-CN"/>
        </w:rPr>
        <w:t>一</w:t>
      </w:r>
      <w:r>
        <w:rPr>
          <w:rFonts w:hint="eastAsia" w:ascii="宋体" w:hAnsi="宋体"/>
          <w:sz w:val="24"/>
          <w:szCs w:val="24"/>
          <w:highlight w:val="none"/>
          <w:shd w:val="clear" w:color="auto" w:fill="FFFFFF"/>
        </w:rPr>
        <w:t>室（</w:t>
      </w:r>
      <w:r>
        <w:rPr>
          <w:rFonts w:hint="eastAsia" w:ascii="宋体" w:hAnsi="宋体"/>
          <w:sz w:val="24"/>
          <w:szCs w:val="24"/>
          <w:highlight w:val="none"/>
          <w:shd w:val="clear" w:color="auto" w:fill="FFFFFF"/>
          <w:lang w:val="en-US" w:eastAsia="zh-CN"/>
        </w:rPr>
        <w:t>416</w:t>
      </w:r>
      <w:r>
        <w:rPr>
          <w:rFonts w:hint="eastAsia" w:ascii="宋体" w:hAnsi="宋体"/>
          <w:sz w:val="24"/>
          <w:szCs w:val="24"/>
          <w:highlight w:val="none"/>
          <w:shd w:val="clear" w:color="auto" w:fill="FFFFFF"/>
        </w:rPr>
        <w:t>室）。</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6、有意向参与本项目投标的投标人，应在投标截止时间前自行在六安市公共资源电子交易系统(http://183.162.78.64:9003/lahy/)下载招标公告、补充公告、招标文件和澄清文件等资料。</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7、投标人自行在安徽省公共资源交易市场主体库注册用户名，填报企业基本信息、项目负责人和项目班子成员信息、企业和项目负责人业绩、企业和项目负责人获奖等相关信息。投标人自行更新、自行维护本单位信息。以上所有信息的真实性、准确性和完整性由投标人负责。</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安徽省公共资源交易市场主体库注册联系电话：010-86483801 转 5-2</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六安市公共资源交易平台电子交易系统联系电话：400-998-0000</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六安市公共资源交易平台电子交易系统 CA 证书办理机构：</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安徽 CA（安徽省电子认证管理中心有限责任公司）联系电话：400-880-4959</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CFCA（江苏翔晟信息技术股份有限公司）联系电话：025-66085508</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8、投标人在下载招标文件（含图纸、答疑澄清文件等）过程中若遇到问题，请与软件技术支持联系，电话：400-998-0000。在咨询过程中不得透露投标人自身信息。</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9、咨询提问途径</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一律由投标人通过六安市公共资源交易平台网上提问栏目进行，提问应当隐藏投标人信息及联系电话、邮件等，违反规定导致泄露投标人信息的，应对其造成的后果承担责任。</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二十一、联系方式</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招标人：安徽兴叶工程咨询有限公司</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联系人：</w:t>
      </w:r>
      <w:r>
        <w:rPr>
          <w:rFonts w:hint="eastAsia" w:ascii="宋体" w:hAnsi="宋体"/>
          <w:sz w:val="24"/>
          <w:szCs w:val="24"/>
          <w:highlight w:val="none"/>
          <w:shd w:val="clear" w:color="auto" w:fill="FFFFFF"/>
          <w:lang w:val="en-US" w:eastAsia="zh-CN"/>
        </w:rPr>
        <w:t>鲍工</w:t>
      </w:r>
      <w:r>
        <w:rPr>
          <w:rFonts w:ascii="宋体" w:hAnsi="宋体"/>
          <w:sz w:val="24"/>
          <w:szCs w:val="24"/>
          <w:highlight w:val="none"/>
          <w:shd w:val="clear" w:color="auto" w:fill="FFFFFF"/>
        </w:rPr>
        <w:t xml:space="preserve">      </w:t>
      </w:r>
    </w:p>
    <w:p>
      <w:pPr>
        <w:spacing w:line="500" w:lineRule="exact"/>
        <w:ind w:firstLine="480" w:firstLineChars="200"/>
        <w:rPr>
          <w:rFonts w:hint="default" w:ascii="宋体" w:hAnsi="宋体" w:eastAsia="宋体"/>
          <w:sz w:val="24"/>
          <w:szCs w:val="24"/>
          <w:highlight w:val="none"/>
          <w:shd w:val="clear" w:color="auto" w:fill="FFFFFF"/>
          <w:lang w:val="en-US" w:eastAsia="zh-CN"/>
        </w:rPr>
      </w:pPr>
      <w:r>
        <w:rPr>
          <w:rFonts w:hint="eastAsia" w:ascii="宋体" w:hAnsi="宋体"/>
          <w:sz w:val="24"/>
          <w:szCs w:val="24"/>
          <w:highlight w:val="none"/>
          <w:shd w:val="clear" w:color="auto" w:fill="FFFFFF"/>
        </w:rPr>
        <w:t>联系电话：</w:t>
      </w:r>
      <w:r>
        <w:rPr>
          <w:rFonts w:hint="eastAsia" w:ascii="宋体" w:hAnsi="宋体"/>
          <w:sz w:val="24"/>
          <w:szCs w:val="24"/>
          <w:highlight w:val="none"/>
          <w:shd w:val="clear" w:color="auto" w:fill="FFFFFF"/>
          <w:lang w:val="en-US" w:eastAsia="zh-CN"/>
        </w:rPr>
        <w:t>18326368683</w:t>
      </w:r>
    </w:p>
    <w:p>
      <w:pPr>
        <w:spacing w:line="500" w:lineRule="exact"/>
        <w:ind w:firstLine="480" w:firstLineChars="200"/>
        <w:rPr>
          <w:rFonts w:hint="eastAsia" w:ascii="宋体" w:hAnsi="宋体"/>
          <w:sz w:val="24"/>
          <w:szCs w:val="24"/>
          <w:highlight w:val="none"/>
          <w:shd w:val="clear" w:color="auto" w:fill="FFFFFF"/>
        </w:rPr>
      </w:pPr>
      <w:r>
        <w:rPr>
          <w:rFonts w:hint="eastAsia" w:ascii="宋体" w:hAnsi="宋体"/>
          <w:sz w:val="24"/>
          <w:szCs w:val="24"/>
          <w:highlight w:val="none"/>
          <w:shd w:val="clear" w:color="auto" w:fill="FFFFFF"/>
        </w:rPr>
        <w:t>地</w:t>
      </w:r>
      <w:r>
        <w:rPr>
          <w:rFonts w:ascii="宋体" w:hAnsi="宋体"/>
          <w:sz w:val="24"/>
          <w:szCs w:val="24"/>
          <w:highlight w:val="none"/>
          <w:shd w:val="clear" w:color="auto" w:fill="FFFFFF"/>
        </w:rPr>
        <w:t xml:space="preserve">  </w:t>
      </w:r>
      <w:r>
        <w:rPr>
          <w:rFonts w:hint="eastAsia" w:ascii="宋体" w:hAnsi="宋体"/>
          <w:sz w:val="24"/>
          <w:szCs w:val="24"/>
          <w:highlight w:val="none"/>
          <w:shd w:val="clear" w:color="auto" w:fill="FFFFFF"/>
        </w:rPr>
        <w:t xml:space="preserve">址：六安市叶集区东楼路与南海路交汇处南海嘉苑S1#楼 </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招标代理机构：安徽中技工程咨询有限公司</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 xml:space="preserve">联系人：童超、何林        </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联系电话：0551-65149581转820/831</w:t>
      </w:r>
    </w:p>
    <w:p>
      <w:pPr>
        <w:spacing w:line="360" w:lineRule="auto"/>
        <w:ind w:right="480" w:firstLine="460" w:firstLineChars="192"/>
        <w:rPr>
          <w:rFonts w:ascii="宋体" w:hAnsi="宋体"/>
          <w:sz w:val="28"/>
          <w:szCs w:val="28"/>
          <w:highlight w:val="none"/>
          <w:shd w:val="clear" w:color="auto" w:fill="FFFFFF"/>
        </w:rPr>
      </w:pPr>
      <w:r>
        <w:rPr>
          <w:rFonts w:hint="eastAsia" w:ascii="宋体" w:hAnsi="宋体"/>
          <w:sz w:val="24"/>
          <w:szCs w:val="24"/>
          <w:highlight w:val="none"/>
          <w:shd w:val="clear" w:color="auto" w:fill="FFFFFF"/>
        </w:rPr>
        <w:t>地  址：安徽省合肥市合作化南路27号</w:t>
      </w:r>
      <w:r>
        <w:rPr>
          <w:rFonts w:ascii="宋体" w:hAnsi="宋体"/>
          <w:sz w:val="28"/>
          <w:szCs w:val="28"/>
          <w:highlight w:val="none"/>
          <w:shd w:val="clear" w:color="auto" w:fill="FFFFFF"/>
        </w:rPr>
        <w:t xml:space="preserve">   </w:t>
      </w:r>
    </w:p>
    <w:p>
      <w:pPr>
        <w:pStyle w:val="24"/>
        <w:ind w:firstLine="200"/>
        <w:rPr>
          <w:highlight w:val="none"/>
        </w:rPr>
      </w:pPr>
    </w:p>
    <w:p>
      <w:pPr>
        <w:spacing w:line="500" w:lineRule="exact"/>
        <w:ind w:firstLine="480" w:firstLineChars="200"/>
        <w:jc w:val="right"/>
        <w:rPr>
          <w:rFonts w:ascii="宋体" w:hAnsi="宋体"/>
          <w:sz w:val="24"/>
          <w:szCs w:val="24"/>
          <w:highlight w:val="none"/>
          <w:shd w:val="clear" w:color="auto" w:fill="FFFFFF"/>
        </w:rPr>
      </w:pPr>
      <w:r>
        <w:rPr>
          <w:rFonts w:hint="eastAsia" w:ascii="宋体" w:hAnsi="宋体"/>
          <w:sz w:val="24"/>
          <w:szCs w:val="24"/>
          <w:highlight w:val="none"/>
          <w:shd w:val="clear" w:color="auto" w:fill="FFFFFF"/>
        </w:rPr>
        <w:t>2021年</w:t>
      </w:r>
      <w:r>
        <w:rPr>
          <w:rFonts w:hint="eastAsia" w:ascii="宋体" w:hAnsi="宋体"/>
          <w:sz w:val="24"/>
          <w:szCs w:val="24"/>
          <w:highlight w:val="none"/>
          <w:shd w:val="clear" w:color="auto" w:fill="FFFFFF"/>
          <w:lang w:val="en-US" w:eastAsia="zh-CN"/>
        </w:rPr>
        <w:t>11</w:t>
      </w:r>
      <w:r>
        <w:rPr>
          <w:rFonts w:hint="eastAsia" w:ascii="宋体" w:hAnsi="宋体"/>
          <w:sz w:val="24"/>
          <w:szCs w:val="24"/>
          <w:highlight w:val="none"/>
          <w:shd w:val="clear" w:color="auto" w:fill="FFFFFF"/>
        </w:rPr>
        <w:t>月</w:t>
      </w:r>
      <w:r>
        <w:rPr>
          <w:rFonts w:hint="eastAsia" w:ascii="宋体" w:hAnsi="宋体"/>
          <w:sz w:val="24"/>
          <w:szCs w:val="24"/>
          <w:highlight w:val="none"/>
          <w:shd w:val="clear" w:color="auto" w:fill="FFFFFF"/>
          <w:lang w:val="en-US" w:eastAsia="zh-CN"/>
        </w:rPr>
        <w:t>2</w:t>
      </w:r>
      <w:r>
        <w:rPr>
          <w:rFonts w:hint="eastAsia" w:ascii="宋体" w:hAnsi="宋体"/>
          <w:sz w:val="24"/>
          <w:szCs w:val="24"/>
          <w:highlight w:val="none"/>
          <w:shd w:val="clear" w:color="auto" w:fill="FFFFFF"/>
        </w:rPr>
        <w:t>日</w:t>
      </w:r>
    </w:p>
    <w:p>
      <w:pPr>
        <w:pStyle w:val="7"/>
        <w:tabs>
          <w:tab w:val="left" w:pos="1125"/>
        </w:tabs>
        <w:spacing w:line="520" w:lineRule="exact"/>
        <w:ind w:firstLine="0"/>
        <w:rPr>
          <w:rFonts w:ascii="宋体" w:hAnsi="宋体"/>
          <w:b w:val="0"/>
          <w:sz w:val="36"/>
          <w:szCs w:val="36"/>
          <w:highlight w:val="none"/>
          <w:shd w:val="clear" w:color="auto" w:fill="FFFFFF"/>
        </w:rPr>
      </w:pPr>
      <w:r>
        <w:rPr>
          <w:rFonts w:ascii="宋体" w:hAnsi="宋体"/>
          <w:b w:val="0"/>
          <w:sz w:val="36"/>
          <w:szCs w:val="36"/>
          <w:highlight w:val="none"/>
          <w:shd w:val="clear" w:color="auto" w:fill="FFFFFF"/>
        </w:rPr>
        <w:br w:type="page"/>
      </w:r>
      <w:bookmarkStart w:id="2" w:name="_Toc83242154"/>
      <w:r>
        <w:rPr>
          <w:rFonts w:hint="eastAsia" w:ascii="宋体" w:hAnsi="宋体" w:eastAsia="宋体"/>
          <w:b w:val="0"/>
          <w:sz w:val="34"/>
          <w:szCs w:val="36"/>
          <w:highlight w:val="none"/>
          <w:shd w:val="clear" w:color="auto" w:fill="FFFFFF"/>
        </w:rPr>
        <w:t>第二章</w:t>
      </w:r>
      <w:r>
        <w:rPr>
          <w:rFonts w:ascii="宋体" w:hAnsi="宋体" w:eastAsia="宋体"/>
          <w:b w:val="0"/>
          <w:sz w:val="34"/>
          <w:szCs w:val="36"/>
          <w:highlight w:val="none"/>
          <w:shd w:val="clear" w:color="auto" w:fill="FFFFFF"/>
        </w:rPr>
        <w:t xml:space="preserve">  </w:t>
      </w:r>
      <w:r>
        <w:rPr>
          <w:rFonts w:hint="eastAsia" w:ascii="宋体" w:hAnsi="宋体" w:eastAsia="宋体"/>
          <w:b w:val="0"/>
          <w:sz w:val="34"/>
          <w:szCs w:val="36"/>
          <w:highlight w:val="none"/>
          <w:shd w:val="clear" w:color="auto" w:fill="FFFFFF"/>
        </w:rPr>
        <w:t>投标人须知</w:t>
      </w:r>
      <w:bookmarkEnd w:id="0"/>
      <w:bookmarkEnd w:id="2"/>
    </w:p>
    <w:p>
      <w:pPr>
        <w:adjustRightInd w:val="0"/>
        <w:snapToGrid w:val="0"/>
        <w:spacing w:line="500" w:lineRule="exact"/>
        <w:jc w:val="center"/>
        <w:rPr>
          <w:rFonts w:ascii="宋体" w:cs="宋体"/>
          <w:bCs/>
          <w:sz w:val="28"/>
          <w:szCs w:val="28"/>
          <w:highlight w:val="none"/>
        </w:rPr>
      </w:pPr>
      <w:r>
        <w:rPr>
          <w:rFonts w:ascii="宋体" w:hAnsi="宋体" w:cs="宋体"/>
          <w:bCs/>
          <w:sz w:val="28"/>
          <w:szCs w:val="28"/>
          <w:highlight w:val="none"/>
        </w:rPr>
        <w:t>1.</w:t>
      </w:r>
      <w:r>
        <w:rPr>
          <w:rFonts w:hint="eastAsia" w:ascii="宋体" w:hAnsi="宋体" w:cs="宋体"/>
          <w:bCs/>
          <w:sz w:val="28"/>
          <w:szCs w:val="28"/>
          <w:highlight w:val="none"/>
        </w:rPr>
        <w:t>投标人须知前附表</w:t>
      </w:r>
    </w:p>
    <w:tbl>
      <w:tblPr>
        <w:tblStyle w:val="25"/>
        <w:tblW w:w="90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97"/>
        <w:gridCol w:w="1809"/>
        <w:gridCol w:w="6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内容</w:t>
            </w:r>
          </w:p>
        </w:tc>
        <w:tc>
          <w:tcPr>
            <w:tcW w:w="6600" w:type="dxa"/>
            <w:tcBorders>
              <w:top w:val="single" w:color="auto" w:sz="4" w:space="0"/>
              <w:left w:val="single" w:color="auto" w:sz="4" w:space="0"/>
              <w:bottom w:val="single" w:color="auto" w:sz="4" w:space="0"/>
            </w:tcBorders>
            <w:vAlign w:val="center"/>
          </w:tcPr>
          <w:p>
            <w:pPr>
              <w:tabs>
                <w:tab w:val="left" w:pos="1180"/>
              </w:tabs>
              <w:adjustRightInd w:val="0"/>
              <w:snapToGrid w:val="0"/>
              <w:spacing w:line="240" w:lineRule="atLeast"/>
              <w:jc w:val="center"/>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项目名称</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shd w:val="clear" w:color="auto" w:fill="FFFFFF"/>
              </w:rPr>
              <w:t>安徽兴叶工程咨询有限公司咨询服务合作供应商征集项目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项目性质</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3</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招标人</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安徽兴叶工程咨询有限公司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4</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招标代理</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安徽中技工程咨询有限公司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5</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招标方式</w:t>
            </w:r>
          </w:p>
        </w:tc>
        <w:tc>
          <w:tcPr>
            <w:tcW w:w="6600" w:type="dxa"/>
            <w:tcBorders>
              <w:top w:val="single" w:color="auto" w:sz="4" w:space="0"/>
              <w:left w:val="single" w:color="auto" w:sz="4" w:space="0"/>
              <w:bottom w:val="single" w:color="auto" w:sz="4" w:space="0"/>
            </w:tcBorders>
            <w:vAlign w:val="center"/>
          </w:tcPr>
          <w:p>
            <w:pPr>
              <w:widowControl/>
              <w:shd w:val="solid" w:color="FFFFFF" w:fill="auto"/>
              <w:tabs>
                <w:tab w:val="left" w:pos="7276"/>
              </w:tabs>
              <w:autoSpaceDN w:val="0"/>
              <w:adjustRightInd w:val="0"/>
              <w:snapToGrid w:val="0"/>
              <w:spacing w:line="240" w:lineRule="atLeast"/>
              <w:rPr>
                <w:rFonts w:cs="宋体" w:asciiTheme="minorEastAsia" w:hAnsiTheme="minorEastAsia" w:eastAsiaTheme="minorEastAsia"/>
                <w:kern w:val="0"/>
                <w:sz w:val="24"/>
                <w:szCs w:val="24"/>
                <w:highlight w:val="none"/>
                <w:shd w:val="clear" w:color="auto" w:fill="FFFFFF"/>
              </w:rPr>
            </w:pPr>
            <w:r>
              <w:rPr>
                <w:rFonts w:hint="eastAsia" w:cs="宋体" w:asciiTheme="minorEastAsia" w:hAnsiTheme="minorEastAsia" w:eastAsiaTheme="minorEastAsia"/>
                <w:kern w:val="0"/>
                <w:sz w:val="24"/>
                <w:szCs w:val="24"/>
                <w:highlight w:val="none"/>
                <w:shd w:val="clear" w:color="auto" w:fill="FFFFFF"/>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6</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资金来源</w:t>
            </w:r>
          </w:p>
        </w:tc>
        <w:tc>
          <w:tcPr>
            <w:tcW w:w="6600" w:type="dxa"/>
            <w:tcBorders>
              <w:top w:val="single" w:color="auto" w:sz="4" w:space="0"/>
              <w:left w:val="single" w:color="auto" w:sz="4" w:space="0"/>
              <w:bottom w:val="single" w:color="auto" w:sz="4" w:space="0"/>
            </w:tcBorders>
            <w:vAlign w:val="center"/>
          </w:tcPr>
          <w:p>
            <w:pPr>
              <w:widowControl/>
              <w:shd w:val="solid" w:color="FFFFFF" w:fill="auto"/>
              <w:tabs>
                <w:tab w:val="left" w:pos="7276"/>
              </w:tabs>
              <w:autoSpaceDN w:val="0"/>
              <w:adjustRightInd w:val="0"/>
              <w:snapToGrid w:val="0"/>
              <w:spacing w:line="240" w:lineRule="atLeast"/>
              <w:rPr>
                <w:rFonts w:cs="宋体" w:asciiTheme="minorEastAsia" w:hAnsiTheme="minorEastAsia" w:eastAsiaTheme="minorEastAsia"/>
                <w:kern w:val="0"/>
                <w:sz w:val="24"/>
                <w:szCs w:val="24"/>
                <w:highlight w:val="none"/>
                <w:shd w:val="clear" w:color="auto" w:fill="FFFFFF"/>
              </w:rPr>
            </w:pPr>
            <w:r>
              <w:rPr>
                <w:rFonts w:hint="eastAsia" w:cs="宋体" w:asciiTheme="minorEastAsia" w:hAnsiTheme="minorEastAsia" w:eastAsiaTheme="minorEastAsia"/>
                <w:kern w:val="0"/>
                <w:sz w:val="24"/>
                <w:szCs w:val="24"/>
                <w:highlight w:val="none"/>
                <w:shd w:val="clear" w:color="auto" w:fill="FFFFFF"/>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2"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7</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hd w:val="solid" w:color="FFFFFF" w:fill="auto"/>
              <w:tabs>
                <w:tab w:val="left" w:pos="7276"/>
              </w:tabs>
              <w:adjustRightInd w:val="0"/>
              <w:snapToGrid w:val="0"/>
              <w:spacing w:line="240" w:lineRule="atLeast"/>
              <w:rPr>
                <w:rFonts w:cs="宋体" w:asciiTheme="minorEastAsia" w:hAnsiTheme="minorEastAsia" w:eastAsiaTheme="minorEastAsia"/>
                <w:kern w:val="0"/>
                <w:sz w:val="24"/>
                <w:szCs w:val="24"/>
                <w:highlight w:val="none"/>
                <w:shd w:val="clear" w:color="auto" w:fill="FFFFFF"/>
              </w:rPr>
            </w:pPr>
            <w:r>
              <w:rPr>
                <w:rFonts w:hint="eastAsia" w:cs="宋体" w:asciiTheme="minorEastAsia" w:hAnsiTheme="minorEastAsia" w:eastAsiaTheme="minorEastAsia"/>
                <w:kern w:val="0"/>
                <w:sz w:val="24"/>
                <w:szCs w:val="24"/>
                <w:highlight w:val="none"/>
                <w:shd w:val="clear" w:color="auto" w:fill="FFFFFF"/>
              </w:rPr>
              <w:t>招标内容</w:t>
            </w:r>
          </w:p>
        </w:tc>
        <w:tc>
          <w:tcPr>
            <w:tcW w:w="6600" w:type="dxa"/>
            <w:tcBorders>
              <w:top w:val="single" w:color="auto" w:sz="4" w:space="0"/>
              <w:left w:val="single" w:color="auto" w:sz="4" w:space="0"/>
              <w:bottom w:val="single" w:color="auto" w:sz="4" w:space="0"/>
            </w:tcBorders>
            <w:vAlign w:val="center"/>
          </w:tcPr>
          <w:p>
            <w:pPr>
              <w:widowControl/>
              <w:shd w:val="solid" w:color="FFFFFF" w:fill="auto"/>
              <w:tabs>
                <w:tab w:val="left" w:pos="7276"/>
              </w:tabs>
              <w:autoSpaceDN w:val="0"/>
              <w:adjustRightInd w:val="0"/>
              <w:snapToGrid w:val="0"/>
              <w:spacing w:line="240" w:lineRule="atLeast"/>
              <w:rPr>
                <w:rFonts w:cs="宋体" w:asciiTheme="minorEastAsia" w:hAnsiTheme="minorEastAsia" w:eastAsiaTheme="minorEastAsia"/>
                <w:kern w:val="0"/>
                <w:sz w:val="24"/>
                <w:szCs w:val="24"/>
                <w:highlight w:val="none"/>
                <w:shd w:val="clear" w:color="auto" w:fill="FFFFFF"/>
              </w:rPr>
            </w:pPr>
            <w:r>
              <w:rPr>
                <w:rFonts w:hint="eastAsia" w:cs="宋体" w:asciiTheme="minorEastAsia" w:hAnsiTheme="minorEastAsia" w:eastAsiaTheme="minorEastAsia"/>
                <w:kern w:val="0"/>
                <w:sz w:val="24"/>
                <w:szCs w:val="24"/>
                <w:highlight w:val="none"/>
                <w:shd w:val="clear" w:color="auto" w:fill="FFFFFF"/>
              </w:rPr>
              <w:t>征集不超过14家符合条件的</w:t>
            </w:r>
            <w:r>
              <w:rPr>
                <w:rFonts w:hint="eastAsia" w:ascii="宋体" w:hAnsi="宋体"/>
                <w:sz w:val="24"/>
                <w:szCs w:val="24"/>
                <w:highlight w:val="none"/>
                <w:shd w:val="clear" w:color="auto" w:fill="FFFFFF"/>
              </w:rPr>
              <w:t>供应商</w:t>
            </w:r>
            <w:r>
              <w:rPr>
                <w:rFonts w:hint="eastAsia" w:ascii="宋体" w:hAnsi="宋体"/>
                <w:sz w:val="24"/>
                <w:szCs w:val="24"/>
                <w:highlight w:val="none"/>
                <w:shd w:val="clear" w:color="auto" w:fill="FFFFFF"/>
                <w:lang w:val="en-US" w:eastAsia="zh-CN"/>
              </w:rPr>
              <w:t>与</w:t>
            </w:r>
            <w:r>
              <w:rPr>
                <w:rFonts w:hint="eastAsia" w:ascii="宋体" w:hAnsi="宋体"/>
                <w:sz w:val="24"/>
                <w:szCs w:val="24"/>
                <w:highlight w:val="none"/>
                <w:shd w:val="clear" w:color="auto" w:fill="FFFFFF"/>
              </w:rPr>
              <w:t>安徽兴叶工程咨询有限公司</w:t>
            </w:r>
            <w:r>
              <w:rPr>
                <w:rFonts w:hint="eastAsia" w:ascii="宋体" w:hAnsi="宋体"/>
                <w:sz w:val="24"/>
                <w:szCs w:val="24"/>
                <w:highlight w:val="none"/>
                <w:shd w:val="clear" w:color="auto" w:fill="FFFFFF"/>
                <w:lang w:val="en-US" w:eastAsia="zh-CN"/>
              </w:rPr>
              <w:t>合作，</w:t>
            </w:r>
            <w:r>
              <w:rPr>
                <w:rFonts w:hint="eastAsia" w:ascii="宋体" w:hAnsi="宋体"/>
                <w:sz w:val="24"/>
                <w:szCs w:val="24"/>
                <w:highlight w:val="none"/>
                <w:shd w:val="clear" w:color="auto" w:fill="FFFFFF"/>
              </w:rPr>
              <w:t>从事相关</w:t>
            </w:r>
            <w:r>
              <w:rPr>
                <w:rFonts w:hint="eastAsia" w:ascii="宋体" w:hAnsi="宋体"/>
                <w:sz w:val="24"/>
                <w:szCs w:val="24"/>
                <w:highlight w:val="none"/>
                <w:shd w:val="clear" w:color="auto" w:fill="FFFFFF"/>
                <w:lang w:val="en-US" w:eastAsia="zh-CN"/>
              </w:rPr>
              <w:t>项目的</w:t>
            </w:r>
            <w:r>
              <w:rPr>
                <w:rFonts w:hint="eastAsia" w:ascii="宋体" w:hAnsi="宋体"/>
                <w:sz w:val="24"/>
                <w:szCs w:val="24"/>
                <w:highlight w:val="none"/>
                <w:shd w:val="clear" w:color="auto" w:fill="FFFFFF"/>
              </w:rPr>
              <w:t>招标、采购、造价咨询服务(含工程量清单及控制价编制)，具体规则详见第五章内容。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8</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投标人资格要求</w:t>
            </w:r>
          </w:p>
        </w:tc>
        <w:tc>
          <w:tcPr>
            <w:tcW w:w="6600" w:type="dxa"/>
            <w:tcBorders>
              <w:top w:val="single" w:color="auto" w:sz="4" w:space="0"/>
              <w:left w:val="single" w:color="auto" w:sz="4" w:space="0"/>
              <w:bottom w:val="single" w:color="auto" w:sz="4" w:space="0"/>
            </w:tcBorders>
            <w:vAlign w:val="center"/>
          </w:tcPr>
          <w:p>
            <w:pPr>
              <w:widowControl/>
              <w:shd w:val="solid" w:color="FFFFFF" w:fill="auto"/>
              <w:adjustRightInd w:val="0"/>
              <w:snapToGrid w:val="0"/>
              <w:spacing w:line="240" w:lineRule="atLeast"/>
              <w:jc w:val="left"/>
              <w:rPr>
                <w:rFonts w:cs="宋体" w:asciiTheme="minorEastAsia" w:hAnsiTheme="minorEastAsia" w:eastAsiaTheme="minorEastAsia"/>
                <w:kern w:val="0"/>
                <w:sz w:val="24"/>
                <w:szCs w:val="24"/>
                <w:highlight w:val="none"/>
                <w:shd w:val="clear" w:color="auto" w:fill="FFFFFF"/>
              </w:rPr>
            </w:pPr>
            <w:r>
              <w:rPr>
                <w:rFonts w:hint="eastAsia" w:cs="宋体" w:asciiTheme="minorEastAsia" w:hAnsiTheme="minorEastAsia" w:eastAsiaTheme="minorEastAsia"/>
                <w:kern w:val="0"/>
                <w:sz w:val="24"/>
                <w:szCs w:val="24"/>
                <w:highlight w:val="none"/>
                <w:shd w:val="clear" w:color="auto" w:fill="FFFFFF"/>
              </w:rPr>
              <w:t>详见招标公告要求。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9</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资格审查方式</w:t>
            </w:r>
          </w:p>
        </w:tc>
        <w:tc>
          <w:tcPr>
            <w:tcW w:w="6600" w:type="dxa"/>
            <w:tcBorders>
              <w:top w:val="single" w:color="auto" w:sz="4" w:space="0"/>
              <w:left w:val="single" w:color="auto" w:sz="4" w:space="0"/>
              <w:bottom w:val="single" w:color="auto" w:sz="4" w:space="0"/>
            </w:tcBorders>
            <w:vAlign w:val="center"/>
          </w:tcPr>
          <w:p>
            <w:pPr>
              <w:pStyle w:val="9"/>
              <w:widowControl/>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□资格预审</w:t>
            </w:r>
            <w:r>
              <w:rPr>
                <w:rFonts w:cs="宋体" w:asciiTheme="minorEastAsia" w:hAnsiTheme="minorEastAsia" w:eastAsiaTheme="minorEastAsia"/>
                <w:sz w:val="24"/>
                <w:szCs w:val="24"/>
                <w:highlight w:val="none"/>
              </w:rPr>
              <w:t xml:space="preserve">  </w:t>
            </w:r>
            <w:r>
              <w:rPr>
                <w:rFonts w:cs="宋体" w:asciiTheme="minorEastAsia" w:hAnsiTheme="minorEastAsia" w:eastAsiaTheme="minorEastAsia"/>
                <w:sz w:val="24"/>
                <w:szCs w:val="24"/>
                <w:highlight w:val="none"/>
              </w:rPr>
              <w:fldChar w:fldCharType="begin"/>
            </w:r>
            <w:r>
              <w:rPr>
                <w:rFonts w:cs="宋体" w:asciiTheme="minorEastAsia" w:hAnsiTheme="minorEastAsia" w:eastAsiaTheme="minorEastAsia"/>
                <w:sz w:val="24"/>
                <w:szCs w:val="24"/>
                <w:highlight w:val="none"/>
              </w:rPr>
              <w:instrText xml:space="preserve"> eq \o\ac(</w:instrText>
            </w:r>
            <w:r>
              <w:rPr>
                <w:rFonts w:hint="eastAsia" w:cs="宋体" w:asciiTheme="minorEastAsia" w:hAnsiTheme="minorEastAsia" w:eastAsiaTheme="minorEastAsia"/>
                <w:sz w:val="24"/>
                <w:szCs w:val="24"/>
                <w:highlight w:val="none"/>
              </w:rPr>
              <w:instrText xml:space="preserve">□</w:instrText>
            </w:r>
            <w:r>
              <w:rPr>
                <w:rFonts w:cs="宋体" w:asciiTheme="minorEastAsia" w:hAnsiTheme="minorEastAsia" w:eastAsiaTheme="minorEastAsia"/>
                <w:sz w:val="24"/>
                <w:szCs w:val="24"/>
                <w:highlight w:val="none"/>
              </w:rPr>
              <w:instrText xml:space="preserve">,</w:instrText>
            </w:r>
            <w:r>
              <w:rPr>
                <w:rFonts w:hint="eastAsia" w:cs="宋体" w:asciiTheme="minorEastAsia" w:hAnsiTheme="minorEastAsia" w:eastAsiaTheme="minorEastAsia"/>
                <w:position w:val="1"/>
                <w:sz w:val="24"/>
                <w:szCs w:val="24"/>
                <w:highlight w:val="none"/>
              </w:rPr>
              <w:instrText xml:space="preserve">√</w:instrText>
            </w:r>
            <w:r>
              <w:rPr>
                <w:rFonts w:cs="宋体" w:asciiTheme="minorEastAsia" w:hAnsiTheme="minorEastAsia" w:eastAsiaTheme="minorEastAsia"/>
                <w:sz w:val="24"/>
                <w:szCs w:val="24"/>
                <w:highlight w:val="none"/>
              </w:rPr>
              <w:instrText xml:space="preserve">)</w:instrText>
            </w:r>
            <w:r>
              <w:rPr>
                <w:rFonts w:cs="宋体" w:asciiTheme="minorEastAsia" w:hAnsiTheme="minorEastAsia" w:eastAsiaTheme="minorEastAsia"/>
                <w:sz w:val="24"/>
                <w:szCs w:val="24"/>
                <w:highlight w:val="none"/>
              </w:rPr>
              <w:fldChar w:fldCharType="end"/>
            </w:r>
            <w:r>
              <w:rPr>
                <w:rFonts w:hint="eastAsia" w:cs="宋体" w:asciiTheme="minorEastAsia" w:hAnsiTheme="minorEastAsia" w:eastAsiaTheme="minorEastAsia"/>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10</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投标预备会</w:t>
            </w:r>
          </w:p>
        </w:tc>
        <w:tc>
          <w:tcPr>
            <w:tcW w:w="6600" w:type="dxa"/>
            <w:tcBorders>
              <w:top w:val="single" w:color="auto" w:sz="4" w:space="0"/>
              <w:left w:val="single" w:color="auto" w:sz="4" w:space="0"/>
              <w:bottom w:val="single" w:color="auto" w:sz="4" w:space="0"/>
            </w:tcBorders>
            <w:vAlign w:val="center"/>
          </w:tcPr>
          <w:p>
            <w:pPr>
              <w:widowControl/>
              <w:shd w:val="solid" w:color="FFFFFF" w:fill="auto"/>
              <w:adjustRightInd w:val="0"/>
              <w:snapToGrid w:val="0"/>
              <w:spacing w:line="240" w:lineRule="atLeast"/>
              <w:jc w:val="left"/>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fldChar w:fldCharType="begin"/>
            </w:r>
            <w:r>
              <w:rPr>
                <w:rFonts w:cs="宋体" w:asciiTheme="minorEastAsia" w:hAnsiTheme="minorEastAsia" w:eastAsiaTheme="minorEastAsia"/>
                <w:sz w:val="24"/>
                <w:szCs w:val="24"/>
                <w:highlight w:val="none"/>
              </w:rPr>
              <w:instrText xml:space="preserve"> eq \o\ac(</w:instrText>
            </w:r>
            <w:r>
              <w:rPr>
                <w:rFonts w:hint="eastAsia" w:cs="宋体" w:asciiTheme="minorEastAsia" w:hAnsiTheme="minorEastAsia" w:eastAsiaTheme="minorEastAsia"/>
                <w:sz w:val="24"/>
                <w:szCs w:val="24"/>
                <w:highlight w:val="none"/>
              </w:rPr>
              <w:instrText xml:space="preserve">□</w:instrText>
            </w:r>
            <w:r>
              <w:rPr>
                <w:rFonts w:cs="宋体" w:asciiTheme="minorEastAsia" w:hAnsiTheme="minorEastAsia" w:eastAsiaTheme="minorEastAsia"/>
                <w:sz w:val="24"/>
                <w:szCs w:val="24"/>
                <w:highlight w:val="none"/>
              </w:rPr>
              <w:instrText xml:space="preserve">,</w:instrText>
            </w:r>
            <w:r>
              <w:rPr>
                <w:rFonts w:hint="eastAsia" w:cs="宋体" w:asciiTheme="minorEastAsia" w:hAnsiTheme="minorEastAsia" w:eastAsiaTheme="minorEastAsia"/>
                <w:position w:val="1"/>
                <w:sz w:val="24"/>
                <w:szCs w:val="24"/>
                <w:highlight w:val="none"/>
              </w:rPr>
              <w:instrText xml:space="preserve">√</w:instrText>
            </w:r>
            <w:r>
              <w:rPr>
                <w:rFonts w:cs="宋体" w:asciiTheme="minorEastAsia" w:hAnsiTheme="minorEastAsia" w:eastAsiaTheme="minorEastAsia"/>
                <w:sz w:val="24"/>
                <w:szCs w:val="24"/>
                <w:highlight w:val="none"/>
              </w:rPr>
              <w:instrText xml:space="preserve">)</w:instrText>
            </w:r>
            <w:r>
              <w:rPr>
                <w:rFonts w:cs="宋体" w:asciiTheme="minorEastAsia" w:hAnsiTheme="minorEastAsia" w:eastAsiaTheme="minorEastAsia"/>
                <w:sz w:val="24"/>
                <w:szCs w:val="24"/>
                <w:highlight w:val="none"/>
              </w:rPr>
              <w:fldChar w:fldCharType="end"/>
            </w:r>
            <w:r>
              <w:rPr>
                <w:rFonts w:hint="eastAsia" w:cs="宋体" w:asciiTheme="minorEastAsia" w:hAnsiTheme="minorEastAsia" w:eastAsiaTheme="minorEastAsia"/>
                <w:kern w:val="0"/>
                <w:sz w:val="24"/>
                <w:szCs w:val="24"/>
                <w:highlight w:val="none"/>
                <w:shd w:val="clear" w:color="auto" w:fill="FFFFFF"/>
              </w:rPr>
              <w:t>不召开</w:t>
            </w:r>
            <w:r>
              <w:rPr>
                <w:rFonts w:cs="宋体" w:asciiTheme="minorEastAsia" w:hAnsiTheme="minorEastAsia" w:eastAsiaTheme="minorEastAsia"/>
                <w:kern w:val="0"/>
                <w:sz w:val="24"/>
                <w:szCs w:val="24"/>
                <w:highlight w:val="none"/>
                <w:shd w:val="clear" w:color="auto" w:fill="FFFFFF"/>
              </w:rPr>
              <w:t xml:space="preserve">  </w:t>
            </w:r>
            <w:r>
              <w:rPr>
                <w:rFonts w:hint="eastAsia" w:cs="宋体" w:asciiTheme="minorEastAsia" w:hAnsiTheme="minorEastAsia" w:eastAsiaTheme="minorEastAsia"/>
                <w:sz w:val="24"/>
                <w:szCs w:val="24"/>
                <w:highlight w:val="none"/>
              </w:rPr>
              <w:t>□召开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11</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分包</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fldChar w:fldCharType="begin"/>
            </w:r>
            <w:r>
              <w:rPr>
                <w:rFonts w:cs="宋体" w:asciiTheme="minorEastAsia" w:hAnsiTheme="minorEastAsia" w:eastAsiaTheme="minorEastAsia"/>
                <w:sz w:val="24"/>
                <w:szCs w:val="24"/>
                <w:highlight w:val="none"/>
              </w:rPr>
              <w:instrText xml:space="preserve"> eq \o\ac(</w:instrText>
            </w:r>
            <w:r>
              <w:rPr>
                <w:rFonts w:hint="eastAsia" w:cs="宋体" w:asciiTheme="minorEastAsia" w:hAnsiTheme="minorEastAsia" w:eastAsiaTheme="minorEastAsia"/>
                <w:sz w:val="24"/>
                <w:szCs w:val="24"/>
                <w:highlight w:val="none"/>
              </w:rPr>
              <w:instrText xml:space="preserve">□</w:instrText>
            </w:r>
            <w:r>
              <w:rPr>
                <w:rFonts w:cs="宋体" w:asciiTheme="minorEastAsia" w:hAnsiTheme="minorEastAsia" w:eastAsiaTheme="minorEastAsia"/>
                <w:sz w:val="24"/>
                <w:szCs w:val="24"/>
                <w:highlight w:val="none"/>
              </w:rPr>
              <w:instrText xml:space="preserve">,</w:instrText>
            </w:r>
            <w:r>
              <w:rPr>
                <w:rFonts w:hint="eastAsia" w:cs="宋体" w:asciiTheme="minorEastAsia" w:hAnsiTheme="minorEastAsia" w:eastAsiaTheme="minorEastAsia"/>
                <w:position w:val="1"/>
                <w:sz w:val="24"/>
                <w:szCs w:val="24"/>
                <w:highlight w:val="none"/>
              </w:rPr>
              <w:instrText xml:space="preserve">√</w:instrText>
            </w:r>
            <w:r>
              <w:rPr>
                <w:rFonts w:cs="宋体" w:asciiTheme="minorEastAsia" w:hAnsiTheme="minorEastAsia" w:eastAsiaTheme="minorEastAsia"/>
                <w:sz w:val="24"/>
                <w:szCs w:val="24"/>
                <w:highlight w:val="none"/>
              </w:rPr>
              <w:instrText xml:space="preserve">)</w:instrText>
            </w:r>
            <w:r>
              <w:rPr>
                <w:rFonts w:cs="宋体" w:asciiTheme="minorEastAsia" w:hAnsiTheme="minorEastAsia" w:eastAsiaTheme="minorEastAsia"/>
                <w:sz w:val="24"/>
                <w:szCs w:val="24"/>
                <w:highlight w:val="none"/>
              </w:rPr>
              <w:fldChar w:fldCharType="end"/>
            </w:r>
            <w:r>
              <w:rPr>
                <w:rFonts w:hint="eastAsia" w:cs="宋体" w:asciiTheme="minorEastAsia" w:hAnsiTheme="minorEastAsia" w:eastAsiaTheme="minorEastAsia"/>
                <w:sz w:val="24"/>
                <w:szCs w:val="24"/>
                <w:highlight w:val="none"/>
              </w:rPr>
              <w:t>不允许</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12</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投标有效期</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ind w:firstLine="4" w:firstLineChars="2"/>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60</w:t>
            </w:r>
            <w:r>
              <w:rPr>
                <w:rFonts w:hint="eastAsia" w:cs="宋体" w:asciiTheme="minorEastAsia" w:hAnsiTheme="minorEastAsia" w:eastAsiaTheme="minorEastAsia"/>
                <w:sz w:val="24"/>
                <w:szCs w:val="24"/>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13</w:t>
            </w:r>
          </w:p>
        </w:tc>
        <w:tc>
          <w:tcPr>
            <w:tcW w:w="18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投标保证金及履约保证金</w:t>
            </w:r>
          </w:p>
        </w:tc>
        <w:tc>
          <w:tcPr>
            <w:tcW w:w="6600" w:type="dxa"/>
            <w:tcBorders>
              <w:top w:val="single" w:color="auto" w:sz="4" w:space="0"/>
              <w:left w:val="single" w:color="auto" w:sz="4" w:space="0"/>
              <w:bottom w:val="single" w:color="auto" w:sz="4" w:space="0"/>
            </w:tcBorders>
            <w:vAlign w:val="center"/>
          </w:tcPr>
          <w:p>
            <w:pPr>
              <w:spacing w:line="240" w:lineRule="atLeast"/>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1、投标保证金</w:t>
            </w:r>
            <w:r>
              <w:rPr>
                <w:rFonts w:hint="eastAsia" w:cs="宋体" w:asciiTheme="minorEastAsia" w:hAnsiTheme="minorEastAsia" w:eastAsiaTheme="minorEastAsia"/>
                <w:sz w:val="24"/>
                <w:szCs w:val="24"/>
                <w:highlight w:val="none"/>
              </w:rPr>
              <w:t>缴纳详见招标公告要求；投标保证金</w:t>
            </w:r>
            <w:r>
              <w:rPr>
                <w:rFonts w:cs="宋体" w:asciiTheme="minorEastAsia" w:hAnsiTheme="minorEastAsia" w:eastAsiaTheme="minorEastAsia"/>
                <w:sz w:val="24"/>
                <w:szCs w:val="24"/>
                <w:highlight w:val="none"/>
              </w:rPr>
              <w:t>退还：</w:t>
            </w:r>
            <w:r>
              <w:rPr>
                <w:rFonts w:hint="eastAsia" w:cs="宋体" w:asciiTheme="minorEastAsia" w:hAnsiTheme="minorEastAsia" w:eastAsiaTheme="minorEastAsia"/>
                <w:sz w:val="24"/>
                <w:szCs w:val="24"/>
                <w:highlight w:val="none"/>
              </w:rPr>
              <w:t>招标人最迟将在中标通知书发出后</w:t>
            </w:r>
            <w:r>
              <w:rPr>
                <w:rFonts w:cs="宋体" w:asciiTheme="minorEastAsia" w:hAnsiTheme="minorEastAsia" w:eastAsiaTheme="minorEastAsia"/>
                <w:sz w:val="24"/>
                <w:szCs w:val="24"/>
                <w:highlight w:val="none"/>
              </w:rPr>
              <w:t>5日内</w:t>
            </w:r>
            <w:r>
              <w:rPr>
                <w:rFonts w:cs="宋体" w:asciiTheme="minorEastAsia" w:hAnsiTheme="minorEastAsia" w:eastAsiaTheme="minorEastAsia"/>
                <w:color w:val="auto"/>
                <w:sz w:val="24"/>
                <w:szCs w:val="24"/>
                <w:highlight w:val="none"/>
              </w:rPr>
              <w:t>向</w:t>
            </w:r>
            <w:r>
              <w:rPr>
                <w:rFonts w:hint="eastAsia" w:cs="宋体" w:asciiTheme="minorEastAsia" w:hAnsiTheme="minorEastAsia" w:eastAsiaTheme="minorEastAsia"/>
                <w:color w:val="auto"/>
                <w:sz w:val="24"/>
                <w:szCs w:val="24"/>
                <w:highlight w:val="none"/>
                <w:lang w:val="en-US" w:eastAsia="zh-CN"/>
              </w:rPr>
              <w:t>未中标的</w:t>
            </w:r>
            <w:r>
              <w:rPr>
                <w:rFonts w:hint="eastAsia" w:cs="宋体" w:asciiTheme="minorEastAsia" w:hAnsiTheme="minorEastAsia" w:eastAsiaTheme="minorEastAsia"/>
                <w:sz w:val="24"/>
                <w:szCs w:val="24"/>
                <w:highlight w:val="none"/>
              </w:rPr>
              <w:t>投标人退还投标保证金，与</w:t>
            </w:r>
            <w:r>
              <w:rPr>
                <w:rFonts w:hint="eastAsia" w:cs="宋体" w:asciiTheme="minorEastAsia" w:hAnsiTheme="minorEastAsia" w:eastAsiaTheme="minorEastAsia"/>
                <w:sz w:val="24"/>
                <w:szCs w:val="24"/>
                <w:highlight w:val="none"/>
                <w:lang w:val="en-US" w:eastAsia="zh-CN"/>
              </w:rPr>
              <w:t>中标</w:t>
            </w:r>
            <w:r>
              <w:rPr>
                <w:rFonts w:hint="eastAsia" w:cs="宋体" w:asciiTheme="minorEastAsia" w:hAnsiTheme="minorEastAsia" w:eastAsiaTheme="minorEastAsia"/>
                <w:sz w:val="24"/>
                <w:szCs w:val="24"/>
                <w:highlight w:val="none"/>
              </w:rPr>
              <w:t>供应商</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14家</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rPr>
              <w:t>签订合同后</w:t>
            </w:r>
            <w:r>
              <w:rPr>
                <w:rFonts w:cs="宋体" w:asciiTheme="minorEastAsia" w:hAnsiTheme="minorEastAsia" w:eastAsiaTheme="minorEastAsia"/>
                <w:sz w:val="24"/>
                <w:szCs w:val="24"/>
                <w:highlight w:val="none"/>
              </w:rPr>
              <w:t>5日内向</w:t>
            </w:r>
            <w:r>
              <w:rPr>
                <w:rFonts w:hint="eastAsia" w:cs="宋体" w:asciiTheme="minorEastAsia" w:hAnsiTheme="minorEastAsia" w:eastAsiaTheme="minorEastAsia"/>
                <w:sz w:val="24"/>
                <w:szCs w:val="24"/>
                <w:highlight w:val="none"/>
              </w:rPr>
              <w:t>中标供应商退还投标保证金。</w:t>
            </w:r>
          </w:p>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w:t>
            </w:r>
            <w:r>
              <w:rPr>
                <w:rFonts w:cs="宋体" w:asciiTheme="minorEastAsia" w:hAnsiTheme="minorEastAsia" w:eastAsiaTheme="minorEastAsia"/>
                <w:sz w:val="24"/>
                <w:szCs w:val="24"/>
                <w:highlight w:val="none"/>
              </w:rPr>
              <w:t>、履约保证金数额：人民币</w:t>
            </w:r>
            <w:r>
              <w:rPr>
                <w:rFonts w:hint="eastAsia" w:cs="宋体" w:asciiTheme="minorEastAsia" w:hAnsiTheme="minorEastAsia" w:eastAsiaTheme="minorEastAsia"/>
                <w:sz w:val="24"/>
                <w:szCs w:val="24"/>
                <w:highlight w:val="none"/>
              </w:rPr>
              <w:t>叁</w:t>
            </w:r>
            <w:r>
              <w:rPr>
                <w:rFonts w:cs="宋体" w:asciiTheme="minorEastAsia" w:hAnsiTheme="minorEastAsia" w:eastAsiaTheme="minorEastAsia"/>
                <w:sz w:val="24"/>
                <w:szCs w:val="24"/>
                <w:highlight w:val="none"/>
              </w:rPr>
              <w:t>万元整。</w:t>
            </w:r>
          </w:p>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w:t>
            </w:r>
            <w:r>
              <w:rPr>
                <w:rFonts w:cs="宋体" w:asciiTheme="minorEastAsia" w:hAnsiTheme="minorEastAsia" w:eastAsiaTheme="minorEastAsia"/>
                <w:sz w:val="24"/>
                <w:szCs w:val="24"/>
                <w:highlight w:val="none"/>
              </w:rPr>
              <w:t>、履约保证金的递交:</w:t>
            </w:r>
            <w:r>
              <w:rPr>
                <w:rFonts w:hint="eastAsia"/>
                <w:highlight w:val="none"/>
              </w:rPr>
              <w:t xml:space="preserve"> </w:t>
            </w:r>
            <w:r>
              <w:rPr>
                <w:rFonts w:hint="eastAsia" w:cs="宋体" w:asciiTheme="minorEastAsia" w:hAnsiTheme="minorEastAsia" w:eastAsiaTheme="minorEastAsia"/>
                <w:sz w:val="24"/>
                <w:szCs w:val="24"/>
                <w:highlight w:val="none"/>
                <w:lang w:val="en-US" w:eastAsia="zh-CN"/>
              </w:rPr>
              <w:t>主选</w:t>
            </w:r>
            <w:r>
              <w:rPr>
                <w:rFonts w:hint="eastAsia" w:cs="宋体" w:asciiTheme="minorEastAsia" w:hAnsiTheme="minorEastAsia" w:eastAsiaTheme="minorEastAsia"/>
                <w:sz w:val="24"/>
                <w:szCs w:val="24"/>
                <w:highlight w:val="none"/>
              </w:rPr>
              <w:t>供应商（</w:t>
            </w:r>
            <w:r>
              <w:rPr>
                <w:rFonts w:hint="eastAsia" w:cs="宋体" w:asciiTheme="minorEastAsia" w:hAnsiTheme="minorEastAsia" w:eastAsiaTheme="minorEastAsia"/>
                <w:sz w:val="24"/>
                <w:szCs w:val="24"/>
                <w:highlight w:val="none"/>
                <w:lang w:val="en-US" w:eastAsia="zh-CN"/>
              </w:rPr>
              <w:t>8家</w:t>
            </w:r>
            <w:r>
              <w:rPr>
                <w:rFonts w:hint="eastAsia" w:cs="宋体" w:asciiTheme="minorEastAsia" w:hAnsiTheme="minorEastAsia" w:eastAsiaTheme="minorEastAsia"/>
                <w:sz w:val="24"/>
                <w:szCs w:val="24"/>
                <w:highlight w:val="none"/>
              </w:rPr>
              <w:t>）在合同签订前缴纳</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备选供应商（6家）如在考核后进入主选</w:t>
            </w:r>
            <w:r>
              <w:rPr>
                <w:rFonts w:hint="eastAsia" w:cs="宋体" w:asciiTheme="minorEastAsia" w:hAnsiTheme="minorEastAsia" w:eastAsiaTheme="minorEastAsia"/>
                <w:sz w:val="24"/>
                <w:szCs w:val="24"/>
                <w:highlight w:val="none"/>
              </w:rPr>
              <w:t>供应商</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接</w:t>
            </w:r>
            <w:r>
              <w:rPr>
                <w:rFonts w:hint="eastAsia" w:ascii="宋体" w:hAnsi="宋体"/>
                <w:sz w:val="24"/>
                <w:szCs w:val="24"/>
                <w:highlight w:val="none"/>
                <w:shd w:val="clear" w:color="auto" w:fill="FFFFFF"/>
              </w:rPr>
              <w:t>安徽兴叶工程咨询有限公司</w:t>
            </w:r>
            <w:r>
              <w:rPr>
                <w:rFonts w:hint="eastAsia" w:ascii="宋体" w:hAnsi="宋体"/>
                <w:sz w:val="24"/>
                <w:szCs w:val="24"/>
                <w:highlight w:val="none"/>
                <w:shd w:val="clear" w:color="auto" w:fill="FFFFFF"/>
                <w:lang w:val="en-US" w:eastAsia="zh-CN"/>
              </w:rPr>
              <w:t>书面通知后缴纳</w:t>
            </w:r>
            <w:r>
              <w:rPr>
                <w:rFonts w:hint="eastAsia" w:cs="宋体" w:asciiTheme="minorEastAsia" w:hAnsiTheme="minorEastAsia" w:eastAsiaTheme="minorEastAsia"/>
                <w:sz w:val="24"/>
                <w:szCs w:val="24"/>
                <w:highlight w:val="none"/>
              </w:rPr>
              <w:t>。履约保证金用于保证中标人按合同履行其全部义务，除凡是由于中标人原因导致资格被取消的，同时扣除全部履约保证金的情形外，在合同服务期限终止之日起五个工作日内招标人将无息退还</w:t>
            </w:r>
            <w:r>
              <w:rPr>
                <w:rFonts w:hint="eastAsia" w:cs="宋体" w:asciiTheme="minorEastAsia" w:hAnsiTheme="minorEastAsia" w:eastAsiaTheme="minorEastAsia"/>
                <w:sz w:val="24"/>
                <w:szCs w:val="24"/>
                <w:highlight w:val="none"/>
                <w:lang w:val="en-US" w:eastAsia="zh-CN"/>
              </w:rPr>
              <w:t>所有</w:t>
            </w:r>
            <w:r>
              <w:rPr>
                <w:rFonts w:hint="eastAsia" w:cs="宋体" w:asciiTheme="minorEastAsia" w:hAnsiTheme="minorEastAsia" w:eastAsiaTheme="minorEastAsia"/>
                <w:sz w:val="24"/>
                <w:szCs w:val="24"/>
                <w:highlight w:val="none"/>
              </w:rPr>
              <w:t>中标人全部履约保证金。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43"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14</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投标文件份数</w:t>
            </w:r>
          </w:p>
        </w:tc>
        <w:tc>
          <w:tcPr>
            <w:tcW w:w="6600" w:type="dxa"/>
            <w:tcBorders>
              <w:top w:val="single" w:color="auto" w:sz="4" w:space="0"/>
              <w:left w:val="single" w:color="auto" w:sz="4" w:space="0"/>
              <w:bottom w:val="single" w:color="auto" w:sz="4" w:space="0"/>
            </w:tcBorders>
            <w:vAlign w:val="center"/>
          </w:tcPr>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15</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签字或盖章要求</w:t>
            </w:r>
          </w:p>
        </w:tc>
        <w:tc>
          <w:tcPr>
            <w:tcW w:w="6600" w:type="dxa"/>
            <w:tcBorders>
              <w:top w:val="single" w:color="auto" w:sz="4" w:space="0"/>
              <w:left w:val="single" w:color="auto" w:sz="4" w:space="0"/>
              <w:bottom w:val="single" w:color="auto" w:sz="4" w:space="0"/>
            </w:tcBorders>
            <w:vAlign w:val="center"/>
          </w:tcPr>
          <w:p>
            <w:pPr>
              <w:numPr>
                <w:ilvl w:val="0"/>
                <w:numId w:val="1"/>
              </w:numPr>
              <w:spacing w:line="240" w:lineRule="atLeast"/>
              <w:rPr>
                <w:highlight w:val="none"/>
              </w:rPr>
            </w:pPr>
            <w:r>
              <w:rPr>
                <w:rFonts w:hint="eastAsia" w:cs="宋体" w:asciiTheme="minorEastAsia" w:hAnsiTheme="minorEastAsia" w:eastAsiaTheme="minorEastAsia"/>
                <w:sz w:val="24"/>
                <w:szCs w:val="24"/>
                <w:highlight w:val="none"/>
              </w:rPr>
              <w:t>投标文件应用不褪色的材料打印，按投标文件格式要求签字盖章。投标文件应尽量避免涂改，行间插字或删除。如果出现上述情况，改动之处应加盖单位公章或由投标人的法定代表人</w:t>
            </w:r>
            <w:r>
              <w:rPr>
                <w:rFonts w:cs="宋体" w:asciiTheme="minorEastAsia" w:hAnsiTheme="minorEastAsia" w:eastAsiaTheme="minorEastAsia"/>
                <w:sz w:val="24"/>
                <w:szCs w:val="24"/>
                <w:highlight w:val="none"/>
              </w:rPr>
              <w:t>(</w:t>
            </w:r>
            <w:r>
              <w:rPr>
                <w:rFonts w:hint="eastAsia" w:cs="宋体" w:asciiTheme="minorEastAsia" w:hAnsiTheme="minorEastAsia" w:eastAsiaTheme="minorEastAsia"/>
                <w:sz w:val="24"/>
                <w:szCs w:val="24"/>
                <w:highlight w:val="none"/>
              </w:rPr>
              <w:t>或授权委托人</w:t>
            </w:r>
            <w:r>
              <w:rPr>
                <w:rFonts w:cs="宋体" w:asciiTheme="minorEastAsia" w:hAnsiTheme="minorEastAsia" w:eastAsiaTheme="minorEastAsia"/>
                <w:sz w:val="24"/>
                <w:szCs w:val="24"/>
                <w:highlight w:val="none"/>
              </w:rPr>
              <w:t>)</w:t>
            </w:r>
            <w:r>
              <w:rPr>
                <w:rFonts w:hint="eastAsia" w:cs="宋体" w:asciiTheme="minorEastAsia" w:hAnsiTheme="minorEastAsia" w:eastAsiaTheme="minorEastAsia"/>
                <w:sz w:val="24"/>
                <w:szCs w:val="24"/>
                <w:highlight w:val="none"/>
              </w:rPr>
              <w:t>签字确认。</w:t>
            </w:r>
          </w:p>
          <w:p>
            <w:pPr>
              <w:numPr>
                <w:ilvl w:val="0"/>
                <w:numId w:val="1"/>
              </w:num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投标文件授权委托书格式、签字、盖章及内容均应符合要求，否则投标文件无效。</w:t>
            </w:r>
          </w:p>
          <w:p>
            <w:pPr>
              <w:numPr>
                <w:ilvl w:val="0"/>
                <w:numId w:val="1"/>
              </w:num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招标文件中要求的复印件均要求加盖投标人公章，否则</w:t>
            </w:r>
            <w:r>
              <w:rPr>
                <w:rFonts w:hint="eastAsia" w:cs="宋体" w:asciiTheme="minorEastAsia" w:hAnsiTheme="minorEastAsia" w:eastAsiaTheme="minorEastAsia"/>
                <w:b/>
                <w:bCs/>
                <w:sz w:val="24"/>
                <w:szCs w:val="24"/>
                <w:highlight w:val="none"/>
                <w:lang w:val="en-US" w:eastAsia="zh-CN"/>
              </w:rPr>
              <w:t>投标资格无效</w:t>
            </w:r>
            <w:r>
              <w:rPr>
                <w:rFonts w:hint="eastAsia" w:cs="宋体" w:asciiTheme="minorEastAsia" w:hAnsiTheme="minorEastAsia" w:eastAsiaTheme="minorEastAsia"/>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16</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装订要求</w:t>
            </w:r>
          </w:p>
        </w:tc>
        <w:tc>
          <w:tcPr>
            <w:tcW w:w="6600" w:type="dxa"/>
            <w:tcBorders>
              <w:top w:val="single" w:color="auto" w:sz="4" w:space="0"/>
              <w:left w:val="single" w:color="auto" w:sz="4" w:space="0"/>
              <w:bottom w:val="single" w:color="auto" w:sz="4" w:space="0"/>
            </w:tcBorders>
            <w:vAlign w:val="center"/>
          </w:tcPr>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投标文件为胶装，正本、副本须分开装订成册。</w:t>
            </w:r>
            <w:r>
              <w:rPr>
                <w:rFonts w:cs="宋体" w:asciiTheme="minorEastAsia" w:hAnsiTheme="minorEastAsia" w:eastAsiaTheme="minorEastAsia"/>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ind w:firstLine="4" w:firstLineChars="2"/>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17</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密封要求</w:t>
            </w:r>
          </w:p>
        </w:tc>
        <w:tc>
          <w:tcPr>
            <w:tcW w:w="6600" w:type="dxa"/>
            <w:tcBorders>
              <w:top w:val="single" w:color="auto" w:sz="4" w:space="0"/>
              <w:left w:val="single" w:color="auto" w:sz="4" w:space="0"/>
              <w:bottom w:val="single" w:color="auto" w:sz="4" w:space="0"/>
            </w:tcBorders>
            <w:vAlign w:val="center"/>
          </w:tcPr>
          <w:p>
            <w:pP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应采用牛皮纸袋封装并密封，密封袋封口处应密封，并应加盖单位公章及法定代表人（或委托代理人）签字，注明日期。“正本”和“副本”要分别装袋并密封，封皮上应注明“安徽兴叶工程咨询有限公司咨询服务合作供应商征集项目投标文件、在</w:t>
            </w:r>
            <w:r>
              <w:rPr>
                <w:rFonts w:cs="宋体" w:asciiTheme="minorEastAsia" w:hAnsiTheme="minorEastAsia" w:eastAsiaTheme="minorEastAsia"/>
                <w:sz w:val="24"/>
                <w:szCs w:val="24"/>
                <w:highlight w:val="none"/>
              </w:rPr>
              <w:t>20</w:t>
            </w:r>
            <w:r>
              <w:rPr>
                <w:rFonts w:hint="eastAsia" w:cs="宋体" w:asciiTheme="minorEastAsia" w:hAnsiTheme="minorEastAsia" w:eastAsiaTheme="minorEastAsia"/>
                <w:sz w:val="24"/>
                <w:szCs w:val="24"/>
                <w:highlight w:val="none"/>
              </w:rPr>
              <w:t>21</w:t>
            </w:r>
            <w:r>
              <w:rPr>
                <w:rFonts w:cs="宋体" w:asciiTheme="minorEastAsia" w:hAnsiTheme="minorEastAsia" w:eastAsiaTheme="minorEastAsia"/>
                <w:sz w:val="24"/>
                <w:szCs w:val="24"/>
                <w:highlight w:val="none"/>
              </w:rPr>
              <w:t>年</w:t>
            </w:r>
            <w:r>
              <w:rPr>
                <w:rFonts w:hint="eastAsia" w:cs="宋体" w:asciiTheme="minorEastAsia" w:hAnsiTheme="minorEastAsia" w:eastAsia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cs="宋体" w:asciiTheme="minorEastAsia" w:hAnsiTheme="minorEastAsia" w:eastAsiaTheme="minorEastAsia"/>
                <w:sz w:val="24"/>
                <w:szCs w:val="24"/>
                <w:highlight w:val="none"/>
              </w:rPr>
              <w:t>月</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single"/>
                <w:lang w:val="en-US" w:eastAsia="zh-CN"/>
              </w:rPr>
              <w:t xml:space="preserve">   </w:t>
            </w:r>
            <w:r>
              <w:rPr>
                <w:rFonts w:cs="宋体" w:asciiTheme="minorEastAsia" w:hAnsiTheme="minorEastAsia" w:eastAsiaTheme="minorEastAsia"/>
                <w:sz w:val="24"/>
                <w:szCs w:val="24"/>
                <w:highlight w:val="none"/>
              </w:rPr>
              <w:t>日</w:t>
            </w:r>
            <w:r>
              <w:rPr>
                <w:rFonts w:hint="eastAsia" w:cs="宋体" w:asciiTheme="minorEastAsia" w:hAnsiTheme="minorEastAsia" w:eastAsiaTheme="minorEastAsia"/>
                <w:sz w:val="24"/>
                <w:szCs w:val="24"/>
                <w:highlight w:val="none"/>
              </w:rPr>
              <w:t xml:space="preserve"> 时</w:t>
            </w:r>
            <w:r>
              <w:rPr>
                <w:rFonts w:cs="宋体" w:asciiTheme="minorEastAsia" w:hAnsiTheme="minorEastAsia" w:eastAsiaTheme="minorEastAsia"/>
                <w:sz w:val="24"/>
                <w:szCs w:val="24"/>
                <w:highlight w:val="none"/>
              </w:rPr>
              <w:t>00</w:t>
            </w:r>
            <w:r>
              <w:rPr>
                <w:rFonts w:hint="eastAsia" w:cs="宋体" w:asciiTheme="minorEastAsia" w:hAnsiTheme="minorEastAsia" w:eastAsiaTheme="minorEastAsia"/>
                <w:sz w:val="24"/>
                <w:szCs w:val="24"/>
                <w:highlight w:val="none"/>
              </w:rPr>
              <w:t>分前不得开启”、“正本”或“副本”字样。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6"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18</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投标疑问递交</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rPr>
              <w:t>疑问递交时间：</w:t>
            </w:r>
            <w:r>
              <w:rPr>
                <w:rFonts w:cs="宋体" w:asciiTheme="minorEastAsia" w:hAnsiTheme="minorEastAsia" w:eastAsiaTheme="minorEastAsia"/>
                <w:sz w:val="24"/>
                <w:szCs w:val="24"/>
                <w:highlight w:val="none"/>
              </w:rPr>
              <w:t>2021年1</w:t>
            </w:r>
            <w:r>
              <w:rPr>
                <w:rFonts w:hint="eastAsia" w:cs="宋体" w:asciiTheme="minorEastAsia" w:hAnsiTheme="minorEastAsia" w:eastAsiaTheme="minorEastAsia"/>
                <w:sz w:val="24"/>
                <w:szCs w:val="24"/>
                <w:highlight w:val="none"/>
                <w:lang w:val="en-US" w:eastAsia="zh-CN"/>
              </w:rPr>
              <w:t>1</w:t>
            </w:r>
            <w:r>
              <w:rPr>
                <w:rFonts w:cs="宋体" w:asciiTheme="minorEastAsia" w:hAnsiTheme="minorEastAsia" w:eastAsiaTheme="minorEastAsia"/>
                <w:sz w:val="24"/>
                <w:szCs w:val="24"/>
                <w:highlight w:val="none"/>
              </w:rPr>
              <w:t>月</w:t>
            </w:r>
            <w:r>
              <w:rPr>
                <w:rFonts w:hint="eastAsia" w:cs="宋体" w:asciiTheme="minorEastAsia" w:hAnsiTheme="minorEastAsia" w:eastAsiaTheme="minorEastAsia"/>
                <w:sz w:val="24"/>
                <w:szCs w:val="24"/>
                <w:highlight w:val="none"/>
                <w:lang w:val="en-US" w:eastAsia="zh-CN"/>
              </w:rPr>
              <w:t>7</w:t>
            </w:r>
            <w:r>
              <w:rPr>
                <w:rFonts w:hint="eastAsia" w:cs="宋体" w:asciiTheme="minorEastAsia" w:hAnsiTheme="minorEastAsia" w:eastAsiaTheme="minorEastAsia"/>
                <w:sz w:val="24"/>
                <w:szCs w:val="24"/>
                <w:highlight w:val="none"/>
              </w:rPr>
              <w:t>日</w:t>
            </w:r>
            <w:r>
              <w:rPr>
                <w:rFonts w:cs="宋体" w:asciiTheme="minorEastAsia" w:hAnsiTheme="minorEastAsia" w:eastAsiaTheme="minorEastAsia"/>
                <w:sz w:val="24"/>
                <w:szCs w:val="24"/>
                <w:highlight w:val="none"/>
              </w:rPr>
              <w:t>17：00</w:t>
            </w:r>
            <w:r>
              <w:rPr>
                <w:rFonts w:hint="eastAsia" w:cs="宋体" w:asciiTheme="minorEastAsia" w:hAnsiTheme="minorEastAsia" w:eastAsiaTheme="minorEastAsia"/>
                <w:sz w:val="24"/>
                <w:szCs w:val="24"/>
                <w:highlight w:val="none"/>
                <w:lang w:val="en-US" w:eastAsia="zh-CN"/>
              </w:rPr>
              <w:t>前</w:t>
            </w:r>
          </w:p>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疑问递交方式：在六安市公共资源电子交易系统提交。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19</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投标疑问回复</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疑问回复时间：</w:t>
            </w:r>
            <w:r>
              <w:rPr>
                <w:rFonts w:cs="宋体" w:asciiTheme="minorEastAsia" w:hAnsiTheme="minorEastAsia" w:eastAsiaTheme="minorEastAsia"/>
                <w:sz w:val="24"/>
                <w:szCs w:val="24"/>
                <w:highlight w:val="none"/>
              </w:rPr>
              <w:t>20</w:t>
            </w:r>
            <w:r>
              <w:rPr>
                <w:rFonts w:hint="eastAsia" w:cs="宋体" w:asciiTheme="minorEastAsia" w:hAnsiTheme="minorEastAsia" w:eastAsiaTheme="minorEastAsia"/>
                <w:sz w:val="24"/>
                <w:szCs w:val="24"/>
                <w:highlight w:val="none"/>
              </w:rPr>
              <w:t>21</w:t>
            </w:r>
            <w:r>
              <w:rPr>
                <w:rFonts w:cs="宋体" w:asciiTheme="minorEastAsia" w:hAnsiTheme="minorEastAsia" w:eastAsiaTheme="minorEastAsia"/>
                <w:sz w:val="24"/>
                <w:szCs w:val="24"/>
                <w:highlight w:val="none"/>
              </w:rPr>
              <w:t>年</w:t>
            </w:r>
            <w:r>
              <w:rPr>
                <w:rFonts w:hint="eastAsia" w:cs="宋体" w:asciiTheme="minorEastAsia" w:hAnsiTheme="minorEastAsia" w:eastAsiaTheme="minorEastAsia"/>
                <w:sz w:val="24"/>
                <w:szCs w:val="24"/>
                <w:highlight w:val="none"/>
                <w:lang w:val="en-US" w:eastAsia="zh-CN"/>
              </w:rPr>
              <w:t>11</w:t>
            </w:r>
            <w:r>
              <w:rPr>
                <w:rFonts w:cs="宋体" w:asciiTheme="minorEastAsia" w:hAnsiTheme="minorEastAsia" w:eastAsiaTheme="minorEastAsia"/>
                <w:sz w:val="24"/>
                <w:szCs w:val="24"/>
                <w:highlight w:val="none"/>
              </w:rPr>
              <w:t>月</w:t>
            </w:r>
            <w:r>
              <w:rPr>
                <w:rFonts w:hint="eastAsia" w:cs="宋体" w:asciiTheme="minorEastAsia" w:hAnsiTheme="minorEastAsia" w:eastAsiaTheme="minorEastAsia"/>
                <w:sz w:val="24"/>
                <w:szCs w:val="24"/>
                <w:highlight w:val="none"/>
                <w:lang w:val="en-US" w:eastAsia="zh-CN"/>
              </w:rPr>
              <w:t>8</w:t>
            </w:r>
            <w:r>
              <w:rPr>
                <w:rFonts w:hint="eastAsia" w:cs="宋体" w:asciiTheme="minorEastAsia" w:hAnsiTheme="minorEastAsia" w:eastAsiaTheme="minorEastAsia"/>
                <w:sz w:val="24"/>
                <w:szCs w:val="24"/>
                <w:highlight w:val="none"/>
              </w:rPr>
              <w:t>日</w:t>
            </w:r>
          </w:p>
          <w:p>
            <w:pPr>
              <w:adjustRightInd w:val="0"/>
              <w:snapToGrid w:val="0"/>
              <w:spacing w:line="240" w:lineRule="atLeast"/>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疑问回复：</w:t>
            </w:r>
            <w:r>
              <w:rPr>
                <w:rFonts w:hint="eastAsia" w:asciiTheme="minorEastAsia" w:hAnsiTheme="minorEastAsia" w:eastAsiaTheme="minorEastAsia"/>
                <w:sz w:val="24"/>
                <w:szCs w:val="24"/>
                <w:highlight w:val="none"/>
              </w:rPr>
              <w:t>请关注六安市公共资源交易平台电子服务系统并自行下载，该内容为招标文件的组成部分，对投标人具有同等约束力。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20</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投标文件递交截止时间及地点</w:t>
            </w:r>
          </w:p>
        </w:tc>
        <w:tc>
          <w:tcPr>
            <w:tcW w:w="6600" w:type="dxa"/>
            <w:tcBorders>
              <w:top w:val="single" w:color="auto" w:sz="4" w:space="0"/>
              <w:left w:val="single" w:color="auto" w:sz="4" w:space="0"/>
              <w:bottom w:val="single" w:color="auto" w:sz="4" w:space="0"/>
            </w:tcBorders>
            <w:vAlign w:val="center"/>
          </w:tcPr>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递交截止时间：</w:t>
            </w:r>
            <w:r>
              <w:rPr>
                <w:rFonts w:cs="宋体" w:asciiTheme="minorEastAsia" w:hAnsiTheme="minorEastAsia" w:eastAsiaTheme="minorEastAsia"/>
                <w:sz w:val="24"/>
                <w:szCs w:val="24"/>
                <w:highlight w:val="none"/>
              </w:rPr>
              <w:t xml:space="preserve"> 2021年1</w:t>
            </w:r>
            <w:r>
              <w:rPr>
                <w:rFonts w:hint="eastAsia" w:cs="宋体" w:asciiTheme="minorEastAsia" w:hAnsiTheme="minorEastAsia" w:eastAsiaTheme="minorEastAsia"/>
                <w:sz w:val="24"/>
                <w:szCs w:val="24"/>
                <w:highlight w:val="none"/>
              </w:rPr>
              <w:t>1月</w:t>
            </w:r>
            <w:r>
              <w:rPr>
                <w:rFonts w:hint="eastAsia" w:cs="宋体" w:asciiTheme="minorEastAsia" w:hAnsiTheme="minorEastAsia" w:eastAsiaTheme="minorEastAsia"/>
                <w:sz w:val="24"/>
                <w:szCs w:val="24"/>
                <w:highlight w:val="none"/>
                <w:lang w:val="en-US" w:eastAsia="zh-CN"/>
              </w:rPr>
              <w:t>24</w:t>
            </w:r>
            <w:r>
              <w:rPr>
                <w:rFonts w:cs="宋体" w:asciiTheme="minorEastAsia" w:hAnsiTheme="minorEastAsia" w:eastAsiaTheme="minorEastAsia"/>
                <w:sz w:val="24"/>
                <w:szCs w:val="24"/>
                <w:highlight w:val="none"/>
              </w:rPr>
              <w:t>日10</w:t>
            </w:r>
            <w:r>
              <w:rPr>
                <w:rFonts w:hint="eastAsia" w:cs="宋体" w:asciiTheme="minorEastAsia" w:hAnsiTheme="minorEastAsia" w:eastAsiaTheme="minorEastAsia"/>
                <w:sz w:val="24"/>
                <w:szCs w:val="24"/>
                <w:highlight w:val="none"/>
              </w:rPr>
              <w:t>时</w:t>
            </w:r>
            <w:r>
              <w:rPr>
                <w:rFonts w:cs="宋体" w:asciiTheme="minorEastAsia" w:hAnsiTheme="minorEastAsia" w:eastAsiaTheme="minorEastAsia"/>
                <w:sz w:val="24"/>
                <w:szCs w:val="24"/>
                <w:highlight w:val="none"/>
              </w:rPr>
              <w:t>00</w:t>
            </w:r>
            <w:r>
              <w:rPr>
                <w:rFonts w:hint="eastAsia" w:cs="宋体" w:asciiTheme="minorEastAsia" w:hAnsiTheme="minorEastAsia" w:eastAsiaTheme="minorEastAsia"/>
                <w:sz w:val="24"/>
                <w:szCs w:val="24"/>
                <w:highlight w:val="none"/>
              </w:rPr>
              <w:t>分止</w:t>
            </w:r>
          </w:p>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地点：</w:t>
            </w:r>
            <w:r>
              <w:rPr>
                <w:rFonts w:hint="eastAsia" w:ascii="宋体" w:hAnsi="宋体"/>
                <w:sz w:val="24"/>
                <w:szCs w:val="24"/>
                <w:highlight w:val="none"/>
                <w:shd w:val="clear" w:color="auto" w:fill="FFFFFF"/>
              </w:rPr>
              <w:t>六安市叶集区兴叶大道与民生路交汇处东南角社保大楼</w:t>
            </w:r>
            <w:r>
              <w:rPr>
                <w:rFonts w:ascii="宋体" w:hAnsi="宋体"/>
                <w:sz w:val="24"/>
                <w:szCs w:val="24"/>
                <w:highlight w:val="none"/>
                <w:shd w:val="clear" w:color="auto" w:fill="FFFFFF"/>
              </w:rPr>
              <w:t>4楼开标</w:t>
            </w:r>
            <w:r>
              <w:rPr>
                <w:rFonts w:hint="eastAsia" w:ascii="宋体" w:hAnsi="宋体"/>
                <w:sz w:val="24"/>
                <w:szCs w:val="24"/>
                <w:highlight w:val="none"/>
                <w:shd w:val="clear" w:color="auto" w:fill="FFFFFF"/>
                <w:lang w:val="en-US" w:eastAsia="zh-CN"/>
              </w:rPr>
              <w:t>一</w:t>
            </w:r>
            <w:r>
              <w:rPr>
                <w:rFonts w:hint="eastAsia" w:ascii="宋体" w:hAnsi="宋体"/>
                <w:sz w:val="24"/>
                <w:szCs w:val="24"/>
                <w:highlight w:val="none"/>
                <w:shd w:val="clear" w:color="auto" w:fill="FFFFFF"/>
              </w:rPr>
              <w:t>室（</w:t>
            </w:r>
            <w:r>
              <w:rPr>
                <w:rFonts w:hint="eastAsia" w:ascii="宋体" w:hAnsi="宋体"/>
                <w:sz w:val="24"/>
                <w:szCs w:val="24"/>
                <w:highlight w:val="none"/>
                <w:shd w:val="clear" w:color="auto" w:fill="FFFFFF"/>
                <w:lang w:val="en-US" w:eastAsia="zh-CN"/>
              </w:rPr>
              <w:t>416</w:t>
            </w:r>
            <w:r>
              <w:rPr>
                <w:rFonts w:hint="eastAsia" w:ascii="宋体" w:hAnsi="宋体"/>
                <w:sz w:val="24"/>
                <w:szCs w:val="24"/>
                <w:highlight w:val="none"/>
                <w:shd w:val="clear" w:color="auto" w:fill="FFFFFF"/>
              </w:rPr>
              <w:t>室）</w:t>
            </w:r>
            <w:r>
              <w:rPr>
                <w:rFonts w:cs="宋体" w:asciiTheme="minorEastAsia" w:hAnsiTheme="minorEastAsia" w:eastAsiaTheme="minorEastAsia"/>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2"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21</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开标时间、地点</w:t>
            </w:r>
          </w:p>
        </w:tc>
        <w:tc>
          <w:tcPr>
            <w:tcW w:w="6600" w:type="dxa"/>
            <w:tcBorders>
              <w:top w:val="single" w:color="auto" w:sz="4" w:space="0"/>
              <w:left w:val="single" w:color="auto" w:sz="4" w:space="0"/>
              <w:bottom w:val="single" w:color="auto" w:sz="4" w:space="0"/>
            </w:tcBorders>
            <w:vAlign w:val="center"/>
          </w:tcPr>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开标时间：</w:t>
            </w:r>
            <w:r>
              <w:rPr>
                <w:rFonts w:cs="宋体" w:asciiTheme="minorEastAsia" w:hAnsiTheme="minorEastAsia" w:eastAsiaTheme="minorEastAsia"/>
                <w:sz w:val="24"/>
                <w:szCs w:val="24"/>
                <w:highlight w:val="none"/>
              </w:rPr>
              <w:t>20</w:t>
            </w:r>
            <w:r>
              <w:rPr>
                <w:rFonts w:hint="eastAsia" w:cs="宋体" w:asciiTheme="minorEastAsia" w:hAnsiTheme="minorEastAsia" w:eastAsiaTheme="minorEastAsia"/>
                <w:sz w:val="24"/>
                <w:szCs w:val="24"/>
                <w:highlight w:val="none"/>
              </w:rPr>
              <w:t>21</w:t>
            </w:r>
            <w:r>
              <w:rPr>
                <w:rFonts w:cs="宋体" w:asciiTheme="minorEastAsia" w:hAnsiTheme="minorEastAsia" w:eastAsiaTheme="minorEastAsia"/>
                <w:sz w:val="24"/>
                <w:szCs w:val="24"/>
                <w:highlight w:val="none"/>
              </w:rPr>
              <w:t>年</w:t>
            </w:r>
            <w:r>
              <w:rPr>
                <w:rFonts w:hint="eastAsia" w:cs="宋体" w:asciiTheme="minorEastAsia" w:hAnsiTheme="minorEastAsia" w:eastAsiaTheme="minorEastAsia"/>
                <w:sz w:val="24"/>
                <w:szCs w:val="24"/>
                <w:highlight w:val="none"/>
              </w:rPr>
              <w:t>11月</w:t>
            </w:r>
            <w:r>
              <w:rPr>
                <w:rFonts w:hint="eastAsia" w:cs="宋体" w:asciiTheme="minorEastAsia" w:hAnsiTheme="minorEastAsia" w:eastAsiaTheme="minorEastAsia"/>
                <w:sz w:val="24"/>
                <w:szCs w:val="24"/>
                <w:highlight w:val="none"/>
                <w:lang w:val="en-US" w:eastAsia="zh-CN"/>
              </w:rPr>
              <w:t>24</w:t>
            </w:r>
            <w:r>
              <w:rPr>
                <w:rFonts w:cs="宋体" w:asciiTheme="minorEastAsia" w:hAnsiTheme="minorEastAsia" w:eastAsiaTheme="minorEastAsia"/>
                <w:sz w:val="24"/>
                <w:szCs w:val="24"/>
                <w:highlight w:val="none"/>
              </w:rPr>
              <w:t>日10</w:t>
            </w:r>
            <w:r>
              <w:rPr>
                <w:rFonts w:hint="eastAsia" w:cs="宋体" w:asciiTheme="minorEastAsia" w:hAnsiTheme="minorEastAsia" w:eastAsiaTheme="minorEastAsia"/>
                <w:sz w:val="24"/>
                <w:szCs w:val="24"/>
                <w:highlight w:val="none"/>
              </w:rPr>
              <w:t>时</w:t>
            </w:r>
            <w:r>
              <w:rPr>
                <w:rFonts w:cs="宋体" w:asciiTheme="minorEastAsia" w:hAnsiTheme="minorEastAsia" w:eastAsiaTheme="minorEastAsia"/>
                <w:sz w:val="24"/>
                <w:szCs w:val="24"/>
                <w:highlight w:val="none"/>
              </w:rPr>
              <w:t>00</w:t>
            </w:r>
            <w:r>
              <w:rPr>
                <w:rFonts w:hint="eastAsia" w:cs="宋体" w:asciiTheme="minorEastAsia" w:hAnsiTheme="minorEastAsia" w:eastAsiaTheme="minorEastAsia"/>
                <w:sz w:val="24"/>
                <w:szCs w:val="24"/>
                <w:highlight w:val="none"/>
              </w:rPr>
              <w:t>分止</w:t>
            </w:r>
          </w:p>
          <w:p>
            <w:pPr>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地点：</w:t>
            </w:r>
            <w:r>
              <w:rPr>
                <w:rFonts w:hint="eastAsia" w:ascii="宋体" w:hAnsi="宋体"/>
                <w:sz w:val="24"/>
                <w:szCs w:val="24"/>
                <w:highlight w:val="none"/>
                <w:shd w:val="clear" w:color="auto" w:fill="FFFFFF"/>
              </w:rPr>
              <w:t>六安市叶集区兴叶大道与民生路交汇处东南角社保大楼</w:t>
            </w:r>
            <w:r>
              <w:rPr>
                <w:rFonts w:ascii="宋体" w:hAnsi="宋体"/>
                <w:sz w:val="24"/>
                <w:szCs w:val="24"/>
                <w:highlight w:val="none"/>
                <w:shd w:val="clear" w:color="auto" w:fill="FFFFFF"/>
              </w:rPr>
              <w:t>4楼开标</w:t>
            </w:r>
            <w:r>
              <w:rPr>
                <w:rFonts w:hint="eastAsia" w:ascii="宋体" w:hAnsi="宋体"/>
                <w:sz w:val="24"/>
                <w:szCs w:val="24"/>
                <w:highlight w:val="none"/>
                <w:shd w:val="clear" w:color="auto" w:fill="FFFFFF"/>
                <w:lang w:val="en-US" w:eastAsia="zh-CN"/>
              </w:rPr>
              <w:t>一</w:t>
            </w:r>
            <w:r>
              <w:rPr>
                <w:rFonts w:hint="eastAsia" w:ascii="宋体" w:hAnsi="宋体"/>
                <w:sz w:val="24"/>
                <w:szCs w:val="24"/>
                <w:highlight w:val="none"/>
                <w:shd w:val="clear" w:color="auto" w:fill="FFFFFF"/>
              </w:rPr>
              <w:t>室（</w:t>
            </w:r>
            <w:r>
              <w:rPr>
                <w:rFonts w:hint="eastAsia" w:ascii="宋体" w:hAnsi="宋体"/>
                <w:sz w:val="24"/>
                <w:szCs w:val="24"/>
                <w:highlight w:val="none"/>
                <w:shd w:val="clear" w:color="auto" w:fill="FFFFFF"/>
                <w:lang w:val="en-US" w:eastAsia="zh-CN"/>
              </w:rPr>
              <w:t>416</w:t>
            </w:r>
            <w:r>
              <w:rPr>
                <w:rFonts w:hint="eastAsia" w:ascii="宋体" w:hAnsi="宋体"/>
                <w:sz w:val="24"/>
                <w:szCs w:val="24"/>
                <w:highlight w:val="none"/>
                <w:shd w:val="clear" w:color="auto" w:fill="FFFFFF"/>
              </w:rPr>
              <w:t>室）</w:t>
            </w:r>
            <w:r>
              <w:rPr>
                <w:rFonts w:cs="宋体" w:asciiTheme="minorEastAsia" w:hAnsiTheme="minorEastAsia" w:eastAsiaTheme="minorEastAsia"/>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22</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评标方法及标准</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综合评分法，详见本招标文件第三章。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23</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评标委员会的组建</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由招标人依法组建，评标委员会成员人数为</w:t>
            </w:r>
            <w:r>
              <w:rPr>
                <w:rFonts w:cs="宋体" w:asciiTheme="minorEastAsia" w:hAnsiTheme="minorEastAsia" w:eastAsiaTheme="minorEastAsia"/>
                <w:sz w:val="24"/>
                <w:szCs w:val="24"/>
                <w:highlight w:val="none"/>
              </w:rPr>
              <w:t>5</w:t>
            </w:r>
            <w:r>
              <w:rPr>
                <w:rFonts w:hint="eastAsia" w:cs="宋体" w:asciiTheme="minorEastAsia" w:hAnsiTheme="minorEastAsia" w:eastAsiaTheme="minorEastAsia"/>
                <w:sz w:val="24"/>
                <w:szCs w:val="24"/>
                <w:highlight w:val="none"/>
              </w:rPr>
              <w:t>人及以上单数。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24</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是否授权评标委员会确定中标人</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□是</w:t>
            </w:r>
            <w:r>
              <w:rPr>
                <w:rFonts w:cs="宋体" w:asciiTheme="minorEastAsia" w:hAnsiTheme="minorEastAsia" w:eastAsiaTheme="minorEastAsia"/>
                <w:sz w:val="24"/>
                <w:szCs w:val="24"/>
                <w:highlight w:val="none"/>
              </w:rPr>
              <w:t xml:space="preserve">  </w:t>
            </w:r>
            <w:r>
              <w:rPr>
                <w:rFonts w:cs="宋体" w:asciiTheme="minorEastAsia" w:hAnsiTheme="minorEastAsia" w:eastAsiaTheme="minorEastAsia"/>
                <w:sz w:val="24"/>
                <w:szCs w:val="24"/>
                <w:highlight w:val="none"/>
              </w:rPr>
              <w:fldChar w:fldCharType="begin"/>
            </w:r>
            <w:r>
              <w:rPr>
                <w:rFonts w:cs="宋体" w:asciiTheme="minorEastAsia" w:hAnsiTheme="minorEastAsia" w:eastAsiaTheme="minorEastAsia"/>
                <w:sz w:val="24"/>
                <w:szCs w:val="24"/>
                <w:highlight w:val="none"/>
              </w:rPr>
              <w:instrText xml:space="preserve"> eq \o\ac(</w:instrText>
            </w:r>
            <w:r>
              <w:rPr>
                <w:rFonts w:hint="eastAsia" w:cs="宋体" w:asciiTheme="minorEastAsia" w:hAnsiTheme="minorEastAsia" w:eastAsiaTheme="minorEastAsia"/>
                <w:sz w:val="24"/>
                <w:szCs w:val="24"/>
                <w:highlight w:val="none"/>
              </w:rPr>
              <w:instrText xml:space="preserve">□</w:instrText>
            </w:r>
            <w:r>
              <w:rPr>
                <w:rFonts w:cs="宋体" w:asciiTheme="minorEastAsia" w:hAnsiTheme="minorEastAsia" w:eastAsiaTheme="minorEastAsia"/>
                <w:sz w:val="24"/>
                <w:szCs w:val="24"/>
                <w:highlight w:val="none"/>
              </w:rPr>
              <w:instrText xml:space="preserve">,</w:instrText>
            </w:r>
            <w:r>
              <w:rPr>
                <w:rFonts w:hint="eastAsia" w:cs="宋体" w:asciiTheme="minorEastAsia" w:hAnsiTheme="minorEastAsia" w:eastAsiaTheme="minorEastAsia"/>
                <w:position w:val="1"/>
                <w:sz w:val="24"/>
                <w:szCs w:val="24"/>
                <w:highlight w:val="none"/>
              </w:rPr>
              <w:instrText xml:space="preserve">√</w:instrText>
            </w:r>
            <w:r>
              <w:rPr>
                <w:rFonts w:cs="宋体" w:asciiTheme="minorEastAsia" w:hAnsiTheme="minorEastAsia" w:eastAsiaTheme="minorEastAsia"/>
                <w:sz w:val="24"/>
                <w:szCs w:val="24"/>
                <w:highlight w:val="none"/>
              </w:rPr>
              <w:instrText xml:space="preserve">)</w:instrText>
            </w:r>
            <w:r>
              <w:rPr>
                <w:rFonts w:cs="宋体" w:asciiTheme="minorEastAsia" w:hAnsiTheme="minorEastAsia" w:eastAsiaTheme="minorEastAsia"/>
                <w:sz w:val="24"/>
                <w:szCs w:val="24"/>
                <w:highlight w:val="none"/>
              </w:rPr>
              <w:fldChar w:fldCharType="end"/>
            </w:r>
            <w:r>
              <w:rPr>
                <w:rFonts w:hint="eastAsia" w:cs="宋体" w:asciiTheme="minorEastAsia" w:hAnsiTheme="minorEastAsia" w:eastAsiaTheme="minorEastAsia"/>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25</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服务期限</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bCs/>
                <w:sz w:val="24"/>
                <w:szCs w:val="24"/>
                <w:highlight w:val="none"/>
              </w:rPr>
            </w:pPr>
            <w:r>
              <w:rPr>
                <w:rFonts w:hint="eastAsia" w:asciiTheme="minorEastAsia" w:hAnsiTheme="minorEastAsia" w:eastAsiaTheme="minorEastAsia"/>
                <w:sz w:val="24"/>
                <w:szCs w:val="24"/>
                <w:highlight w:val="none"/>
              </w:rPr>
              <w:t>3年，服务期间或期满后，可根据服务质量决定是否继续保留在</w:t>
            </w:r>
            <w:r>
              <w:rPr>
                <w:rFonts w:hint="eastAsia" w:cs="宋体" w:asciiTheme="minorEastAsia" w:hAnsiTheme="minorEastAsia" w:eastAsiaTheme="minorEastAsia"/>
                <w:sz w:val="24"/>
                <w:szCs w:val="24"/>
                <w:highlight w:val="none"/>
              </w:rPr>
              <w:t>安徽兴叶工程咨询有限公司咨询服务合作供应商名单内</w:t>
            </w:r>
            <w:r>
              <w:rPr>
                <w:rFonts w:hint="eastAsia" w:asciiTheme="minorEastAsia" w:hAnsiTheme="minorEastAsia" w:eastAsiaTheme="min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26</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签订合同地点</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招标人指定地点。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69"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27</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相关说明</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投标文件有下列情形之一的，由评标委员会评审后按无效标处理</w:t>
            </w:r>
            <w:r>
              <w:rPr>
                <w:rFonts w:hint="eastAsia" w:cs="宋体" w:asciiTheme="minorEastAsia" w:hAnsiTheme="minorEastAsia" w:eastAsiaTheme="minorEastAsia"/>
                <w:sz w:val="24"/>
                <w:szCs w:val="24"/>
                <w:highlight w:val="none"/>
              </w:rPr>
              <w:t>：</w:t>
            </w:r>
          </w:p>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w:t>
            </w:r>
            <w:r>
              <w:rPr>
                <w:rFonts w:cs="宋体" w:asciiTheme="minorEastAsia" w:hAnsiTheme="minorEastAsia" w:eastAsiaTheme="minorEastAsia"/>
                <w:sz w:val="24"/>
                <w:szCs w:val="24"/>
                <w:highlight w:val="none"/>
              </w:rPr>
              <w:t>1）未按招标文件要求签字或盖章的；</w:t>
            </w:r>
          </w:p>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w:t>
            </w:r>
            <w:r>
              <w:rPr>
                <w:rFonts w:cs="宋体" w:asciiTheme="minorEastAsia" w:hAnsiTheme="minorEastAsia" w:eastAsiaTheme="minorEastAsia"/>
                <w:sz w:val="24"/>
                <w:szCs w:val="24"/>
                <w:highlight w:val="none"/>
              </w:rPr>
              <w:t>2）未按规定的格式填写、实质性内容不全或关键字迹模糊、无法辨认的；</w:t>
            </w:r>
          </w:p>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w:t>
            </w:r>
            <w:r>
              <w:rPr>
                <w:rFonts w:cs="宋体" w:asciiTheme="minorEastAsia" w:hAnsiTheme="minorEastAsia" w:eastAsiaTheme="minorEastAsia"/>
                <w:sz w:val="24"/>
                <w:szCs w:val="24"/>
                <w:highlight w:val="none"/>
              </w:rPr>
              <w:t>3）投标文件明显不符合招标文件规定的评分、</w:t>
            </w:r>
            <w:r>
              <w:rPr>
                <w:rFonts w:hint="eastAsia" w:cs="宋体" w:asciiTheme="minorEastAsia" w:hAnsiTheme="minorEastAsia" w:eastAsiaTheme="minorEastAsia"/>
                <w:sz w:val="24"/>
                <w:szCs w:val="24"/>
                <w:highlight w:val="none"/>
              </w:rPr>
              <w:t>技术要求、评审文件标准或其它实质性要求的；</w:t>
            </w:r>
          </w:p>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w:t>
            </w:r>
            <w:r>
              <w:rPr>
                <w:rFonts w:cs="宋体" w:asciiTheme="minorEastAsia" w:hAnsiTheme="minorEastAsia" w:eastAsiaTheme="minorEastAsia"/>
                <w:sz w:val="24"/>
                <w:szCs w:val="24"/>
                <w:highlight w:val="none"/>
              </w:rPr>
              <w:t>4）投标人递交两份或多份内容不同的投标文件，且未声明哪一个有效的。按招标文件规定提交备选投标方案的除外；</w:t>
            </w:r>
          </w:p>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w:t>
            </w:r>
            <w:r>
              <w:rPr>
                <w:rFonts w:cs="宋体" w:asciiTheme="minorEastAsia" w:hAnsiTheme="minorEastAsia" w:eastAsiaTheme="minorEastAsia"/>
                <w:sz w:val="24"/>
                <w:szCs w:val="24"/>
                <w:highlight w:val="none"/>
              </w:rPr>
              <w:t>5）投标文件中存在招标人不能接受的其它实质性条件或提供虚假文件的。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28</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人员到岗及履约要求</w:t>
            </w:r>
          </w:p>
        </w:tc>
        <w:tc>
          <w:tcPr>
            <w:tcW w:w="6600" w:type="dxa"/>
            <w:tcBorders>
              <w:top w:val="single" w:color="auto" w:sz="4" w:space="0"/>
              <w:left w:val="single" w:color="auto" w:sz="4" w:space="0"/>
              <w:bottom w:val="single" w:color="auto" w:sz="4" w:space="0"/>
            </w:tcBorders>
            <w:vAlign w:val="center"/>
          </w:tcPr>
          <w:p>
            <w:pPr>
              <w:pStyle w:val="43"/>
              <w:spacing w:before="0" w:after="0" w:line="240" w:lineRule="atLeast"/>
              <w:ind w:left="71" w:leftChars="34" w:right="0"/>
              <w:rPr>
                <w:rFonts w:asciiTheme="minorEastAsia" w:hAnsiTheme="minorEastAsia" w:eastAsiaTheme="minorEastAsia"/>
                <w:szCs w:val="24"/>
                <w:highlight w:val="none"/>
              </w:rPr>
            </w:pPr>
            <w:r>
              <w:rPr>
                <w:rFonts w:asciiTheme="minorEastAsia" w:hAnsiTheme="minorEastAsia" w:eastAsiaTheme="minorEastAsia"/>
                <w:szCs w:val="24"/>
                <w:highlight w:val="none"/>
              </w:rPr>
              <w:t>1</w:t>
            </w:r>
            <w:r>
              <w:rPr>
                <w:rFonts w:hint="eastAsia" w:asciiTheme="minorEastAsia" w:hAnsiTheme="minorEastAsia" w:eastAsiaTheme="minorEastAsia"/>
                <w:szCs w:val="24"/>
                <w:highlight w:val="none"/>
              </w:rPr>
              <w:t>、投标人一旦中标，项目负责人不得更换，否则直接从安徽兴叶工程咨询有限公司咨询服务合作供应商名单中清除。</w:t>
            </w:r>
          </w:p>
          <w:p>
            <w:pPr>
              <w:pStyle w:val="43"/>
              <w:spacing w:before="0" w:after="0" w:line="240" w:lineRule="atLeast"/>
              <w:ind w:left="71" w:leftChars="34" w:right="0"/>
              <w:rPr>
                <w:rFonts w:hint="eastAsia" w:asciiTheme="minorEastAsia" w:hAnsiTheme="minorEastAsia" w:eastAsiaTheme="minorEastAsia"/>
                <w:szCs w:val="24"/>
                <w:highlight w:val="none"/>
                <w:lang w:val="en-US" w:eastAsia="zh-CN"/>
              </w:rPr>
            </w:pPr>
            <w:r>
              <w:rPr>
                <w:rFonts w:asciiTheme="minorEastAsia" w:hAnsiTheme="minorEastAsia" w:eastAsiaTheme="minorEastAsia"/>
                <w:szCs w:val="24"/>
                <w:highlight w:val="none"/>
              </w:rPr>
              <w:t>2</w:t>
            </w:r>
            <w:r>
              <w:rPr>
                <w:rFonts w:hint="eastAsia" w:asciiTheme="minorEastAsia" w:hAnsiTheme="minorEastAsia" w:eastAsiaTheme="minorEastAsia"/>
                <w:szCs w:val="24"/>
                <w:highlight w:val="none"/>
              </w:rPr>
              <w:t>、</w:t>
            </w:r>
            <w:r>
              <w:rPr>
                <w:rFonts w:hint="eastAsia" w:asciiTheme="minorEastAsia" w:hAnsiTheme="minorEastAsia" w:eastAsiaTheme="minorEastAsia"/>
                <w:szCs w:val="24"/>
                <w:highlight w:val="none"/>
                <w:lang w:val="en-US" w:eastAsia="zh-CN"/>
              </w:rPr>
              <w:t>合作期内，供应商所服务的</w:t>
            </w:r>
            <w:r>
              <w:rPr>
                <w:rFonts w:hint="eastAsia" w:asciiTheme="minorEastAsia" w:hAnsiTheme="minorEastAsia" w:eastAsiaTheme="minorEastAsia"/>
                <w:szCs w:val="24"/>
                <w:highlight w:val="none"/>
              </w:rPr>
              <w:t>建设工程类招标项目</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rPr>
              <w:t>开标时必须确保本项目</w:t>
            </w:r>
            <w:r>
              <w:rPr>
                <w:rFonts w:hint="eastAsia" w:asciiTheme="minorEastAsia" w:hAnsiTheme="minorEastAsia" w:eastAsiaTheme="minorEastAsia"/>
                <w:szCs w:val="24"/>
                <w:highlight w:val="none"/>
                <w:u w:color="FF0000"/>
              </w:rPr>
              <w:t>投</w:t>
            </w:r>
            <w:r>
              <w:rPr>
                <w:rFonts w:hint="eastAsia" w:asciiTheme="minorEastAsia" w:hAnsiTheme="minorEastAsia" w:eastAsiaTheme="minorEastAsia"/>
                <w:szCs w:val="24"/>
                <w:highlight w:val="none"/>
              </w:rPr>
              <w:t>标文件中所报的项目负责人在岗，</w:t>
            </w:r>
            <w:r>
              <w:rPr>
                <w:rFonts w:hint="eastAsia" w:asciiTheme="minorEastAsia" w:hAnsiTheme="minorEastAsia" w:eastAsiaTheme="minorEastAsia"/>
                <w:szCs w:val="24"/>
                <w:highlight w:val="none"/>
                <w:lang w:val="en-US" w:eastAsia="zh-CN"/>
              </w:rPr>
              <w:t>否则</w:t>
            </w:r>
            <w:r>
              <w:rPr>
                <w:rFonts w:hint="eastAsia" w:asciiTheme="minorEastAsia" w:hAnsiTheme="minorEastAsia" w:eastAsiaTheme="minorEastAsia"/>
                <w:szCs w:val="24"/>
                <w:highlight w:val="none"/>
              </w:rPr>
              <w:t>将</w:t>
            </w:r>
            <w:r>
              <w:rPr>
                <w:rFonts w:hint="eastAsia" w:asciiTheme="minorEastAsia" w:hAnsiTheme="minorEastAsia" w:eastAsiaTheme="minorEastAsia"/>
                <w:szCs w:val="24"/>
                <w:highlight w:val="none"/>
                <w:lang w:val="en-US" w:eastAsia="zh-CN"/>
              </w:rPr>
              <w:t>按招标文件规定的考核标准进行处理</w:t>
            </w:r>
            <w:r>
              <w:rPr>
                <w:rFonts w:hint="eastAsia" w:asciiTheme="minorEastAsia" w:hAnsiTheme="minorEastAsia" w:eastAsiaTheme="minorEastAsia"/>
                <w:szCs w:val="24"/>
                <w:highlight w:val="none"/>
              </w:rPr>
              <w:t>。</w:t>
            </w:r>
            <w:r>
              <w:rPr>
                <w:rFonts w:hint="eastAsia" w:asciiTheme="minorEastAsia" w:hAnsiTheme="minorEastAsia" w:eastAsiaTheme="minorEastAsia"/>
                <w:szCs w:val="24"/>
                <w:highlight w:val="none"/>
                <w:lang w:val="en-US" w:eastAsia="zh-CN"/>
              </w:rPr>
              <w:t>政府采购类项目，</w:t>
            </w:r>
            <w:r>
              <w:rPr>
                <w:rFonts w:hint="eastAsia" w:asciiTheme="minorEastAsia" w:hAnsiTheme="minorEastAsia" w:eastAsiaTheme="minorEastAsia"/>
                <w:szCs w:val="24"/>
                <w:highlight w:val="none"/>
              </w:rPr>
              <w:t>开标时必须确保本项目</w:t>
            </w:r>
            <w:r>
              <w:rPr>
                <w:rFonts w:hint="eastAsia" w:asciiTheme="minorEastAsia" w:hAnsiTheme="minorEastAsia" w:eastAsiaTheme="minorEastAsia"/>
                <w:szCs w:val="24"/>
                <w:highlight w:val="none"/>
                <w:u w:color="FF0000"/>
              </w:rPr>
              <w:t>投</w:t>
            </w:r>
            <w:r>
              <w:rPr>
                <w:rFonts w:hint="eastAsia" w:asciiTheme="minorEastAsia" w:hAnsiTheme="minorEastAsia" w:eastAsiaTheme="minorEastAsia"/>
                <w:szCs w:val="24"/>
                <w:highlight w:val="none"/>
              </w:rPr>
              <w:t>标文件中所报的</w:t>
            </w:r>
            <w:r>
              <w:rPr>
                <w:rFonts w:hint="eastAsia" w:asciiTheme="minorEastAsia" w:hAnsiTheme="minorEastAsia" w:eastAsiaTheme="minorEastAsia"/>
                <w:szCs w:val="24"/>
                <w:highlight w:val="none"/>
                <w:lang w:val="en-US" w:eastAsia="zh-CN"/>
              </w:rPr>
              <w:t>至少两名专业人员</w:t>
            </w:r>
            <w:r>
              <w:rPr>
                <w:rFonts w:hint="eastAsia" w:asciiTheme="minorEastAsia" w:hAnsiTheme="minorEastAsia" w:eastAsiaTheme="minorEastAsia"/>
                <w:szCs w:val="24"/>
                <w:highlight w:val="none"/>
              </w:rPr>
              <w:t>在岗</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lang w:val="en-US" w:eastAsia="zh-CN"/>
              </w:rPr>
              <w:t>否则</w:t>
            </w:r>
            <w:r>
              <w:rPr>
                <w:rFonts w:hint="eastAsia" w:asciiTheme="minorEastAsia" w:hAnsiTheme="minorEastAsia" w:eastAsiaTheme="minorEastAsia"/>
                <w:szCs w:val="24"/>
                <w:highlight w:val="none"/>
              </w:rPr>
              <w:t>将</w:t>
            </w:r>
            <w:r>
              <w:rPr>
                <w:rFonts w:hint="eastAsia" w:asciiTheme="minorEastAsia" w:hAnsiTheme="minorEastAsia" w:eastAsiaTheme="minorEastAsia"/>
                <w:szCs w:val="24"/>
                <w:highlight w:val="none"/>
                <w:lang w:val="en-US" w:eastAsia="zh-CN"/>
              </w:rPr>
              <w:t>按招标文件规定的考核标准进行处理</w:t>
            </w:r>
            <w:r>
              <w:rPr>
                <w:rFonts w:hint="eastAsia" w:asciiTheme="minorEastAsia" w:hAnsiTheme="minorEastAsia" w:eastAsiaTheme="minorEastAsia"/>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597" w:type="dxa"/>
            <w:tcBorders>
              <w:top w:val="single" w:color="auto" w:sz="4" w:space="0"/>
              <w:bottom w:val="single" w:color="auto" w:sz="4" w:space="0"/>
              <w:right w:val="single" w:color="auto" w:sz="4" w:space="0"/>
            </w:tcBorders>
            <w:vAlign w:val="center"/>
          </w:tcPr>
          <w:p>
            <w:pPr>
              <w:adjustRightInd w:val="0"/>
              <w:snapToGrid w:val="0"/>
              <w:spacing w:line="240" w:lineRule="atLeast"/>
              <w:jc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29</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cs="宋体" w:asciiTheme="minorEastAsia" w:hAnsiTheme="minorEastAsia" w:eastAsiaTheme="minorEastAsia"/>
                <w:b/>
                <w:sz w:val="24"/>
                <w:szCs w:val="24"/>
                <w:highlight w:val="none"/>
                <w:u w:val="single"/>
              </w:rPr>
            </w:pPr>
            <w:r>
              <w:rPr>
                <w:rFonts w:hint="eastAsia" w:cs="宋体" w:asciiTheme="minorEastAsia" w:hAnsiTheme="minorEastAsia" w:eastAsiaTheme="minorEastAsia"/>
                <w:b/>
                <w:sz w:val="24"/>
                <w:szCs w:val="24"/>
                <w:highlight w:val="none"/>
                <w:u w:val="single"/>
              </w:rPr>
              <w:t>其他要求或说明</w:t>
            </w:r>
          </w:p>
        </w:tc>
        <w:tc>
          <w:tcPr>
            <w:tcW w:w="6600" w:type="dxa"/>
            <w:tcBorders>
              <w:top w:val="single" w:color="auto" w:sz="4" w:space="0"/>
              <w:left w:val="single" w:color="auto" w:sz="4" w:space="0"/>
              <w:bottom w:val="single" w:color="auto" w:sz="4" w:space="0"/>
            </w:tcBorders>
            <w:vAlign w:val="center"/>
          </w:tcPr>
          <w:p>
            <w:pPr>
              <w:adjustRightInd w:val="0"/>
              <w:snapToGrid w:val="0"/>
              <w:spacing w:line="240" w:lineRule="atLeast"/>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rPr>
              <w:t>、招标人有权组织或提请有关部门在开标后对进入安徽兴叶工程咨询有限公司咨询服务合作供应商的单位进行考察和调查，以防止提供虚假资料、出借资质或挂靠行为发生，若发现投标人属于提供虚假资料、出借资质或挂靠的（包括在评标中和评标后发现），其投标保证金不予退还；若发现中标人属于提供虚假资料、出借资质或挂靠的（包括在评标、公示期间、签订合同前以及在合同期内），招标人有权取消其中标资格或终止合同，其投标保证金、履约保证金不予退还，情节严重的将提请执法机关查处，直至追究刑事责任，并依法向社会公开曝光。</w:t>
            </w:r>
          </w:p>
          <w:p>
            <w:pPr>
              <w:adjustRightInd w:val="0"/>
              <w:snapToGrid w:val="0"/>
              <w:spacing w:line="240" w:lineRule="atLeas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2、本项目招标代理服务费在领取中标通知书时缴纳，</w:t>
            </w:r>
            <w:r>
              <w:rPr>
                <w:rFonts w:hint="eastAsia" w:cs="宋体" w:asciiTheme="minorEastAsia" w:hAnsiTheme="minorEastAsia" w:eastAsiaTheme="minorEastAsia"/>
                <w:sz w:val="24"/>
                <w:szCs w:val="24"/>
                <w:highlight w:val="none"/>
                <w:lang w:val="en-US" w:eastAsia="zh-CN"/>
              </w:rPr>
              <w:t>收费</w:t>
            </w:r>
            <w:r>
              <w:rPr>
                <w:rFonts w:hint="eastAsia" w:cs="宋体" w:asciiTheme="minorEastAsia" w:hAnsiTheme="minorEastAsia" w:eastAsiaTheme="minorEastAsia"/>
                <w:sz w:val="24"/>
                <w:szCs w:val="24"/>
                <w:highlight w:val="none"/>
              </w:rPr>
              <w:t>标准如下：向中标单位（第1-14名）收取招标代理服务费，收费标准如下：推选的第1-8名</w:t>
            </w:r>
            <w:r>
              <w:rPr>
                <w:rFonts w:hint="eastAsia" w:cs="宋体" w:asciiTheme="minorEastAsia" w:hAnsiTheme="minorEastAsia" w:eastAsiaTheme="minorEastAsia"/>
                <w:sz w:val="24"/>
                <w:szCs w:val="24"/>
                <w:highlight w:val="none"/>
                <w:lang w:val="en-US" w:eastAsia="zh-CN"/>
              </w:rPr>
              <w:t>主选供应商</w:t>
            </w:r>
            <w:r>
              <w:rPr>
                <w:rFonts w:hint="eastAsia" w:cs="宋体" w:asciiTheme="minorEastAsia" w:hAnsiTheme="minorEastAsia" w:eastAsiaTheme="minorEastAsia"/>
                <w:sz w:val="24"/>
                <w:szCs w:val="24"/>
                <w:highlight w:val="none"/>
              </w:rPr>
              <w:t>，每家单位收取3000元；第9-14名备选供应商，每家单位收取1000元。专家评审费由1-8名中标供应商分摊，具体费用以实际发生为准，在领取中标通知书时另行支付。</w:t>
            </w:r>
          </w:p>
        </w:tc>
      </w:tr>
    </w:tbl>
    <w:p>
      <w:pPr>
        <w:adjustRightInd w:val="0"/>
        <w:snapToGrid w:val="0"/>
        <w:spacing w:line="500" w:lineRule="exact"/>
        <w:ind w:firstLine="548" w:firstLineChars="196"/>
        <w:rPr>
          <w:rFonts w:ascii="宋体" w:hAnsi="宋体" w:cs="宋体"/>
          <w:bCs/>
          <w:sz w:val="28"/>
          <w:szCs w:val="28"/>
          <w:highlight w:val="none"/>
        </w:rPr>
      </w:pPr>
    </w:p>
    <w:p>
      <w:pPr>
        <w:pStyle w:val="24"/>
        <w:ind w:firstLine="200"/>
        <w:rPr>
          <w:highlight w:val="none"/>
        </w:rPr>
      </w:pPr>
      <w:r>
        <w:rPr>
          <w:highlight w:val="none"/>
        </w:rPr>
        <w:br w:type="page"/>
      </w:r>
    </w:p>
    <w:p>
      <w:pPr>
        <w:adjustRightInd w:val="0"/>
        <w:snapToGrid w:val="0"/>
        <w:spacing w:line="500" w:lineRule="exact"/>
        <w:ind w:firstLine="470" w:firstLineChars="196"/>
        <w:rPr>
          <w:rFonts w:cs="宋体" w:asciiTheme="minorEastAsia" w:hAnsiTheme="minorEastAsia" w:eastAsiaTheme="minorEastAsia"/>
          <w:bCs/>
          <w:sz w:val="24"/>
          <w:szCs w:val="24"/>
          <w:highlight w:val="none"/>
        </w:rPr>
      </w:pPr>
      <w:r>
        <w:rPr>
          <w:rFonts w:cs="宋体" w:asciiTheme="minorEastAsia" w:hAnsiTheme="minorEastAsia" w:eastAsiaTheme="minorEastAsia"/>
          <w:bCs/>
          <w:sz w:val="24"/>
          <w:szCs w:val="24"/>
          <w:highlight w:val="none"/>
        </w:rPr>
        <w:t>2.</w:t>
      </w:r>
      <w:r>
        <w:rPr>
          <w:rFonts w:hint="eastAsia" w:cs="宋体" w:asciiTheme="minorEastAsia" w:hAnsiTheme="minorEastAsia" w:eastAsiaTheme="minorEastAsia"/>
          <w:bCs/>
          <w:sz w:val="24"/>
          <w:szCs w:val="24"/>
          <w:highlight w:val="none"/>
        </w:rPr>
        <w:t>总则</w:t>
      </w:r>
    </w:p>
    <w:p>
      <w:pPr>
        <w:tabs>
          <w:tab w:val="left" w:pos="3318"/>
        </w:tabs>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2.1 </w:t>
      </w:r>
      <w:r>
        <w:rPr>
          <w:rFonts w:hint="eastAsia" w:cs="宋体" w:asciiTheme="minorEastAsia" w:hAnsiTheme="minorEastAsia" w:eastAsiaTheme="minorEastAsia"/>
          <w:b/>
          <w:sz w:val="24"/>
          <w:szCs w:val="24"/>
          <w:highlight w:val="none"/>
        </w:rPr>
        <w:t>项目概况</w:t>
      </w:r>
    </w:p>
    <w:p>
      <w:pPr>
        <w:adjustRightInd w:val="0"/>
        <w:snapToGrid w:val="0"/>
        <w:spacing w:line="500" w:lineRule="exact"/>
        <w:ind w:firstLine="482" w:firstLineChars="200"/>
        <w:rPr>
          <w:rFonts w:cs="宋体" w:asciiTheme="minorEastAsia" w:hAnsiTheme="minorEastAsia" w:eastAsiaTheme="minorEastAsia"/>
          <w:sz w:val="24"/>
          <w:szCs w:val="24"/>
          <w:highlight w:val="none"/>
        </w:rPr>
      </w:pPr>
      <w:r>
        <w:rPr>
          <w:rFonts w:cs="宋体" w:asciiTheme="minorEastAsia" w:hAnsiTheme="minorEastAsia" w:eastAsiaTheme="minorEastAsia"/>
          <w:b/>
          <w:kern w:val="10"/>
          <w:sz w:val="24"/>
          <w:szCs w:val="24"/>
          <w:highlight w:val="none"/>
        </w:rPr>
        <w:t>2.1.1</w:t>
      </w:r>
      <w:r>
        <w:rPr>
          <w:rFonts w:hint="eastAsia" w:cs="宋体" w:asciiTheme="minorEastAsia" w:hAnsiTheme="minorEastAsia" w:eastAsiaTheme="minorEastAsia"/>
          <w:kern w:val="10"/>
          <w:sz w:val="24"/>
          <w:szCs w:val="24"/>
          <w:highlight w:val="none"/>
        </w:rPr>
        <w:t>根据有关法律，法规和规章的规定</w:t>
      </w:r>
      <w:r>
        <w:rPr>
          <w:rFonts w:cs="宋体" w:asciiTheme="minorEastAsia" w:hAnsiTheme="minorEastAsia" w:eastAsiaTheme="minorEastAsia"/>
          <w:kern w:val="10"/>
          <w:sz w:val="24"/>
          <w:szCs w:val="24"/>
          <w:highlight w:val="none"/>
        </w:rPr>
        <w:t>,</w:t>
      </w:r>
      <w:r>
        <w:rPr>
          <w:rFonts w:hint="eastAsia" w:cs="宋体" w:asciiTheme="minorEastAsia" w:hAnsiTheme="minorEastAsia" w:eastAsiaTheme="minorEastAsia"/>
          <w:kern w:val="10"/>
          <w:sz w:val="24"/>
          <w:szCs w:val="24"/>
          <w:highlight w:val="none"/>
        </w:rPr>
        <w:t>本招标项目已具备招标条件</w:t>
      </w:r>
      <w:r>
        <w:rPr>
          <w:rFonts w:cs="宋体" w:asciiTheme="minorEastAsia" w:hAnsiTheme="minorEastAsia" w:eastAsiaTheme="minorEastAsia"/>
          <w:kern w:val="10"/>
          <w:sz w:val="24"/>
          <w:szCs w:val="24"/>
          <w:highlight w:val="none"/>
        </w:rPr>
        <w:t>,</w:t>
      </w:r>
      <w:r>
        <w:rPr>
          <w:rFonts w:hint="eastAsia" w:cs="宋体" w:asciiTheme="minorEastAsia" w:hAnsiTheme="minorEastAsia" w:eastAsiaTheme="minorEastAsia"/>
          <w:kern w:val="10"/>
          <w:sz w:val="24"/>
          <w:szCs w:val="24"/>
          <w:highlight w:val="none"/>
        </w:rPr>
        <w:t>现进行公开招标。</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2.1.2</w:t>
      </w:r>
      <w:r>
        <w:rPr>
          <w:rFonts w:hint="eastAsia" w:cs="宋体" w:asciiTheme="minorEastAsia" w:hAnsiTheme="minorEastAsia" w:eastAsiaTheme="minorEastAsia"/>
          <w:kern w:val="10"/>
          <w:sz w:val="24"/>
          <w:szCs w:val="24"/>
          <w:highlight w:val="none"/>
        </w:rPr>
        <w:t>本招标项目招标代理：见投标人须知前附表。</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2.1.3 </w:t>
      </w:r>
      <w:r>
        <w:rPr>
          <w:rFonts w:hint="eastAsia" w:cs="宋体" w:asciiTheme="minorEastAsia" w:hAnsiTheme="minorEastAsia" w:eastAsiaTheme="minorEastAsia"/>
          <w:kern w:val="10"/>
          <w:sz w:val="24"/>
          <w:szCs w:val="24"/>
          <w:highlight w:val="none"/>
        </w:rPr>
        <w:t>本招标项目名称：见投标人须知前附表。</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2.2 </w:t>
      </w:r>
      <w:r>
        <w:rPr>
          <w:rFonts w:hint="eastAsia" w:cs="宋体" w:asciiTheme="minorEastAsia" w:hAnsiTheme="minorEastAsia" w:eastAsiaTheme="minorEastAsia"/>
          <w:b/>
          <w:sz w:val="24"/>
          <w:szCs w:val="24"/>
          <w:highlight w:val="none"/>
        </w:rPr>
        <w:t>资金来源</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2.2.1</w:t>
      </w:r>
      <w:r>
        <w:rPr>
          <w:rFonts w:hint="eastAsia" w:cs="宋体" w:asciiTheme="minorEastAsia" w:hAnsiTheme="minorEastAsia" w:eastAsiaTheme="minorEastAsia"/>
          <w:kern w:val="10"/>
          <w:sz w:val="24"/>
          <w:szCs w:val="24"/>
          <w:highlight w:val="none"/>
        </w:rPr>
        <w:t>本招标项目的资金来源：见投标人须知前附表。</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2.3 </w:t>
      </w:r>
      <w:r>
        <w:rPr>
          <w:rFonts w:hint="eastAsia" w:cs="宋体" w:asciiTheme="minorEastAsia" w:hAnsiTheme="minorEastAsia" w:eastAsiaTheme="minorEastAsia"/>
          <w:b/>
          <w:sz w:val="24"/>
          <w:szCs w:val="24"/>
          <w:highlight w:val="none"/>
        </w:rPr>
        <w:t>招标内容</w:t>
      </w:r>
      <w:r>
        <w:rPr>
          <w:rFonts w:cs="宋体" w:asciiTheme="minorEastAsia" w:hAnsiTheme="minorEastAsia" w:eastAsiaTheme="minorEastAsia"/>
          <w:b/>
          <w:sz w:val="24"/>
          <w:szCs w:val="24"/>
          <w:highlight w:val="none"/>
        </w:rPr>
        <w:t>:</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2.3.1</w:t>
      </w:r>
      <w:r>
        <w:rPr>
          <w:rFonts w:hint="eastAsia" w:cs="宋体" w:asciiTheme="minorEastAsia" w:hAnsiTheme="minorEastAsia" w:eastAsiaTheme="minorEastAsia"/>
          <w:kern w:val="10"/>
          <w:sz w:val="24"/>
          <w:szCs w:val="24"/>
          <w:highlight w:val="none"/>
        </w:rPr>
        <w:t>本次招标内容</w:t>
      </w:r>
      <w:r>
        <w:rPr>
          <w:rFonts w:cs="宋体" w:asciiTheme="minorEastAsia" w:hAnsiTheme="minorEastAsia" w:eastAsiaTheme="minorEastAsia"/>
          <w:kern w:val="10"/>
          <w:sz w:val="24"/>
          <w:szCs w:val="24"/>
          <w:highlight w:val="none"/>
        </w:rPr>
        <w:t>:</w:t>
      </w:r>
      <w:r>
        <w:rPr>
          <w:rFonts w:hint="eastAsia" w:cs="宋体" w:asciiTheme="minorEastAsia" w:hAnsiTheme="minorEastAsia" w:eastAsiaTheme="minorEastAsia"/>
          <w:kern w:val="10"/>
          <w:sz w:val="24"/>
          <w:szCs w:val="24"/>
          <w:highlight w:val="none"/>
        </w:rPr>
        <w:t>见投标人须知前附表。</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2.4 </w:t>
      </w:r>
      <w:r>
        <w:rPr>
          <w:rFonts w:hint="eastAsia" w:cs="宋体" w:asciiTheme="minorEastAsia" w:hAnsiTheme="minorEastAsia" w:eastAsiaTheme="minorEastAsia"/>
          <w:b/>
          <w:sz w:val="24"/>
          <w:szCs w:val="24"/>
          <w:highlight w:val="none"/>
        </w:rPr>
        <w:t>投标人资格要求</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2.4.1</w:t>
      </w:r>
      <w:r>
        <w:rPr>
          <w:rFonts w:hint="eastAsia" w:cs="宋体" w:asciiTheme="minorEastAsia" w:hAnsiTheme="minorEastAsia" w:eastAsiaTheme="minorEastAsia"/>
          <w:kern w:val="10"/>
          <w:sz w:val="24"/>
          <w:szCs w:val="24"/>
          <w:highlight w:val="none"/>
        </w:rPr>
        <w:t>投标人应具备承担项目的资质条件：见招标文件</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2.4.2</w:t>
      </w:r>
      <w:r>
        <w:rPr>
          <w:rFonts w:hint="eastAsia" w:cs="宋体" w:asciiTheme="minorEastAsia" w:hAnsiTheme="minorEastAsia" w:eastAsiaTheme="minorEastAsia"/>
          <w:kern w:val="10"/>
          <w:sz w:val="24"/>
          <w:szCs w:val="24"/>
          <w:highlight w:val="none"/>
        </w:rPr>
        <w:t>投标人不得存在下列情形之一：</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1）与其他投标人相互串通，或与招标人串通的行为；</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2）向招标人或评标委员会成员行贿的手段谋取成交的行为；</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3）出借或借用资质行为、在投标文件中所附资料（业绩、项目负责人资料等）弄虚作假；</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 xml:space="preserve">4） </w:t>
      </w:r>
      <w:r>
        <w:rPr>
          <w:rFonts w:hint="eastAsia" w:cs="宋体" w:asciiTheme="minorEastAsia" w:hAnsiTheme="minorEastAsia" w:eastAsiaTheme="minorEastAsia"/>
          <w:kern w:val="10"/>
          <w:sz w:val="24"/>
          <w:szCs w:val="24"/>
          <w:highlight w:val="none"/>
        </w:rPr>
        <w:t>财产被接管或冻结，被责令停产、停业，投标资格被暂停或取消状态；</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 xml:space="preserve">5） </w:t>
      </w:r>
      <w:r>
        <w:rPr>
          <w:rFonts w:hint="eastAsia" w:cs="宋体" w:asciiTheme="minorEastAsia" w:hAnsiTheme="minorEastAsia" w:eastAsiaTheme="minorEastAsia"/>
          <w:kern w:val="10"/>
          <w:sz w:val="24"/>
          <w:szCs w:val="24"/>
          <w:highlight w:val="none"/>
        </w:rPr>
        <w:t>采用非法手段获取证据进行质疑、投诉，在质疑、投诉过程中提供虚假情况或进行恶意质疑、投诉；</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6）弄虚作假、恶意串通或妨碍其他投标人的竞争行为，损害招标人或者其他投标人的合法权益；</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7）企业被人民法院列入失信被执行人、企业或其法定代表人被列入行贿犯罪档案、企业被工商行政管理部门列入企业经营异常名</w:t>
      </w:r>
      <w:r>
        <w:rPr>
          <w:rFonts w:hint="eastAsia" w:cs="宋体" w:asciiTheme="minorEastAsia" w:hAnsiTheme="minorEastAsia" w:eastAsiaTheme="minorEastAsia"/>
          <w:kern w:val="10"/>
          <w:sz w:val="24"/>
          <w:szCs w:val="24"/>
          <w:highlight w:val="none"/>
        </w:rPr>
        <w:t>录、企业被税务部门列入重大税收违法案件当事人名单、企业被政府采购监管部门列入政府采购严重违法失信行为记录名单。</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8）在全国范围内存在尚处在投标资格限制期内的投标限制处罚。</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2.5.1</w:t>
      </w:r>
      <w:r>
        <w:rPr>
          <w:rFonts w:hint="eastAsia" w:cs="宋体" w:asciiTheme="minorEastAsia" w:hAnsiTheme="minorEastAsia" w:eastAsiaTheme="minorEastAsia"/>
          <w:kern w:val="10"/>
          <w:sz w:val="24"/>
          <w:szCs w:val="24"/>
          <w:highlight w:val="none"/>
        </w:rPr>
        <w:t>投标人准备和参加投标活动发生的费用自理。</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2.5.2</w:t>
      </w:r>
      <w:r>
        <w:rPr>
          <w:rFonts w:hint="eastAsia" w:cs="宋体" w:asciiTheme="minorEastAsia" w:hAnsiTheme="minorEastAsia" w:eastAsiaTheme="minorEastAsia"/>
          <w:bCs/>
          <w:kern w:val="10"/>
          <w:sz w:val="24"/>
          <w:szCs w:val="24"/>
          <w:highlight w:val="none"/>
        </w:rPr>
        <w:t>招标代理服务费由</w:t>
      </w:r>
      <w:r>
        <w:rPr>
          <w:rFonts w:hint="eastAsia" w:cs="宋体" w:asciiTheme="minorEastAsia" w:hAnsiTheme="minorEastAsia" w:eastAsiaTheme="minorEastAsia"/>
          <w:kern w:val="10"/>
          <w:sz w:val="24"/>
          <w:szCs w:val="24"/>
          <w:highlight w:val="none"/>
        </w:rPr>
        <w:t>本次中标单位共同承担（具体要求见投标人须知前附表）。</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2.6 </w:t>
      </w:r>
      <w:r>
        <w:rPr>
          <w:rFonts w:hint="eastAsia" w:cs="宋体" w:asciiTheme="minorEastAsia" w:hAnsiTheme="minorEastAsia" w:eastAsiaTheme="minorEastAsia"/>
          <w:b/>
          <w:sz w:val="24"/>
          <w:szCs w:val="24"/>
          <w:highlight w:val="none"/>
        </w:rPr>
        <w:t>保密</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参与招标投标活动的各方应对招标文件和投标文件中的商业和技术等秘密保密，违者应对由此造成的后果承担法律责任。</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2.7 </w:t>
      </w:r>
      <w:r>
        <w:rPr>
          <w:rFonts w:hint="eastAsia" w:cs="宋体" w:asciiTheme="minorEastAsia" w:hAnsiTheme="minorEastAsia" w:eastAsiaTheme="minorEastAsia"/>
          <w:b/>
          <w:sz w:val="24"/>
          <w:szCs w:val="24"/>
          <w:highlight w:val="none"/>
        </w:rPr>
        <w:t>语言文字</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除专用术语外，与招标投标有关的语言均使用中文。必要时专用术语应附有中文注释。</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2.8 </w:t>
      </w:r>
      <w:r>
        <w:rPr>
          <w:rFonts w:hint="eastAsia" w:cs="宋体" w:asciiTheme="minorEastAsia" w:hAnsiTheme="minorEastAsia" w:eastAsiaTheme="minorEastAsia"/>
          <w:b/>
          <w:sz w:val="24"/>
          <w:szCs w:val="24"/>
          <w:highlight w:val="none"/>
        </w:rPr>
        <w:t>计量单位</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所有计量均采用中华人民共和国法定计量单位。</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2.9</w:t>
      </w:r>
      <w:r>
        <w:rPr>
          <w:rFonts w:hint="eastAsia" w:cs="宋体" w:asciiTheme="minorEastAsia" w:hAnsiTheme="minorEastAsia" w:eastAsiaTheme="minorEastAsia"/>
          <w:b/>
          <w:sz w:val="24"/>
          <w:szCs w:val="24"/>
          <w:highlight w:val="none"/>
        </w:rPr>
        <w:t>投标预备会（不组织）</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2.9.1 </w:t>
      </w:r>
      <w:r>
        <w:rPr>
          <w:rFonts w:hint="eastAsia" w:cs="宋体" w:asciiTheme="minorEastAsia" w:hAnsiTheme="minorEastAsia" w:eastAsiaTheme="minorEastAsia"/>
          <w:kern w:val="10"/>
          <w:sz w:val="24"/>
          <w:szCs w:val="24"/>
          <w:highlight w:val="none"/>
        </w:rPr>
        <w:t>投标人须知前附表规定召开投标预备会的，招标人按投标人须知前附表规定的时间和地点召开投标预备会，澄清投标人提出的问题。</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2.9.2 </w:t>
      </w:r>
      <w:r>
        <w:rPr>
          <w:rFonts w:hint="eastAsia" w:cs="宋体" w:asciiTheme="minorEastAsia" w:hAnsiTheme="minorEastAsia" w:eastAsiaTheme="minorEastAsia"/>
          <w:kern w:val="10"/>
          <w:sz w:val="24"/>
          <w:szCs w:val="24"/>
          <w:highlight w:val="none"/>
        </w:rPr>
        <w:t>投标人应在投标人须知前附表规定的时间前</w:t>
      </w:r>
      <w:r>
        <w:rPr>
          <w:rFonts w:cs="宋体" w:asciiTheme="minorEastAsia" w:hAnsiTheme="minorEastAsia" w:eastAsiaTheme="minorEastAsia"/>
          <w:kern w:val="10"/>
          <w:sz w:val="24"/>
          <w:szCs w:val="24"/>
          <w:highlight w:val="none"/>
        </w:rPr>
        <w:t>,</w:t>
      </w:r>
      <w:r>
        <w:rPr>
          <w:rFonts w:hint="eastAsia" w:cs="宋体" w:asciiTheme="minorEastAsia" w:hAnsiTheme="minorEastAsia" w:eastAsiaTheme="minorEastAsia"/>
          <w:kern w:val="10"/>
          <w:sz w:val="24"/>
          <w:szCs w:val="24"/>
          <w:highlight w:val="none"/>
        </w:rPr>
        <w:t>以邮件形式将提出的问题送达招标人，以便招标人在会议期间澄清。</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2.9.3</w:t>
      </w:r>
      <w:r>
        <w:rPr>
          <w:rFonts w:hint="eastAsia" w:cs="宋体" w:asciiTheme="minorEastAsia" w:hAnsiTheme="minorEastAsia" w:eastAsiaTheme="minorEastAsia"/>
          <w:kern w:val="10"/>
          <w:sz w:val="24"/>
          <w:szCs w:val="24"/>
          <w:highlight w:val="none"/>
        </w:rPr>
        <w:t>投标预备会后，招标人在投标人须知前附表规定的时间内，将对投标人所提问题的澄清，以书面方式通知所有购买招标文件的投标人。该澄清内容为招标文件的组成部分。</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2.10 </w:t>
      </w:r>
      <w:r>
        <w:rPr>
          <w:rFonts w:hint="eastAsia" w:cs="宋体" w:asciiTheme="minorEastAsia" w:hAnsiTheme="minorEastAsia" w:eastAsiaTheme="minorEastAsia"/>
          <w:b/>
          <w:sz w:val="24"/>
          <w:szCs w:val="24"/>
          <w:highlight w:val="none"/>
        </w:rPr>
        <w:t>分包</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本项目不允许分包。</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2.11 </w:t>
      </w:r>
      <w:r>
        <w:rPr>
          <w:rFonts w:hint="eastAsia" w:cs="宋体" w:asciiTheme="minorEastAsia" w:hAnsiTheme="minorEastAsia" w:eastAsiaTheme="minorEastAsia"/>
          <w:b/>
          <w:sz w:val="24"/>
          <w:szCs w:val="24"/>
          <w:highlight w:val="none"/>
        </w:rPr>
        <w:t>偏离</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kern w:val="10"/>
          <w:sz w:val="24"/>
          <w:szCs w:val="24"/>
          <w:highlight w:val="none"/>
        </w:rPr>
        <w:t>不允许负偏离</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cs="宋体" w:asciiTheme="minorEastAsia" w:hAnsiTheme="minorEastAsia" w:eastAsiaTheme="minorEastAsia"/>
          <w:b/>
          <w:bCs/>
          <w:sz w:val="24"/>
          <w:szCs w:val="24"/>
          <w:highlight w:val="none"/>
        </w:rPr>
        <w:t>3.</w:t>
      </w:r>
      <w:r>
        <w:rPr>
          <w:rFonts w:hint="eastAsia" w:cs="宋体" w:asciiTheme="minorEastAsia" w:hAnsiTheme="minorEastAsia" w:eastAsiaTheme="minorEastAsia"/>
          <w:b/>
          <w:bCs/>
          <w:sz w:val="24"/>
          <w:szCs w:val="24"/>
          <w:highlight w:val="none"/>
        </w:rPr>
        <w:t>招标文件</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3.1 </w:t>
      </w:r>
      <w:r>
        <w:rPr>
          <w:rFonts w:hint="eastAsia" w:cs="宋体" w:asciiTheme="minorEastAsia" w:hAnsiTheme="minorEastAsia" w:eastAsiaTheme="minorEastAsia"/>
          <w:b/>
          <w:sz w:val="24"/>
          <w:szCs w:val="24"/>
          <w:highlight w:val="none"/>
        </w:rPr>
        <w:t>招标文件的组成</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本招标文件包括：</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1</w:t>
      </w:r>
      <w:r>
        <w:rPr>
          <w:rFonts w:hint="eastAsia" w:cs="宋体" w:asciiTheme="minorEastAsia" w:hAnsiTheme="minorEastAsia" w:eastAsiaTheme="minorEastAsia"/>
          <w:kern w:val="10"/>
          <w:sz w:val="24"/>
          <w:szCs w:val="24"/>
          <w:highlight w:val="none"/>
        </w:rPr>
        <w:t>）招标公告；</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2</w:t>
      </w:r>
      <w:r>
        <w:rPr>
          <w:rFonts w:hint="eastAsia" w:cs="宋体" w:asciiTheme="minorEastAsia" w:hAnsiTheme="minorEastAsia" w:eastAsiaTheme="minorEastAsia"/>
          <w:kern w:val="10"/>
          <w:sz w:val="24"/>
          <w:szCs w:val="24"/>
          <w:highlight w:val="none"/>
        </w:rPr>
        <w:t>）投标人须知；</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3</w:t>
      </w:r>
      <w:r>
        <w:rPr>
          <w:rFonts w:hint="eastAsia" w:cs="宋体" w:asciiTheme="minorEastAsia" w:hAnsiTheme="minorEastAsia" w:eastAsiaTheme="minorEastAsia"/>
          <w:kern w:val="10"/>
          <w:sz w:val="24"/>
          <w:szCs w:val="24"/>
          <w:highlight w:val="none"/>
        </w:rPr>
        <w:t>）评审办法；</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4</w:t>
      </w:r>
      <w:r>
        <w:rPr>
          <w:rFonts w:hint="eastAsia" w:cs="宋体" w:asciiTheme="minorEastAsia" w:hAnsiTheme="minorEastAsia" w:eastAsiaTheme="minorEastAsia"/>
          <w:kern w:val="10"/>
          <w:sz w:val="24"/>
          <w:szCs w:val="24"/>
          <w:highlight w:val="none"/>
        </w:rPr>
        <w:t>）合同条款及格式；</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5</w:t>
      </w:r>
      <w:r>
        <w:rPr>
          <w:rFonts w:hint="eastAsia" w:cs="宋体" w:asciiTheme="minorEastAsia" w:hAnsiTheme="minorEastAsia" w:eastAsiaTheme="minorEastAsia"/>
          <w:kern w:val="10"/>
          <w:sz w:val="24"/>
          <w:szCs w:val="24"/>
          <w:highlight w:val="none"/>
        </w:rPr>
        <w:t>）咨询服务</w:t>
      </w:r>
      <w:r>
        <w:rPr>
          <w:rFonts w:hint="eastAsia" w:cs="宋体" w:asciiTheme="minorEastAsia" w:hAnsiTheme="minorEastAsia" w:eastAsiaTheme="minorEastAsia"/>
          <w:kern w:val="10"/>
          <w:sz w:val="24"/>
          <w:szCs w:val="24"/>
          <w:highlight w:val="none"/>
          <w:lang w:val="en-US" w:eastAsia="zh-CN"/>
        </w:rPr>
        <w:t>合作</w:t>
      </w:r>
      <w:r>
        <w:rPr>
          <w:rFonts w:hint="eastAsia" w:cs="宋体" w:asciiTheme="minorEastAsia" w:hAnsiTheme="minorEastAsia" w:eastAsiaTheme="minorEastAsia"/>
          <w:kern w:val="10"/>
          <w:sz w:val="24"/>
          <w:szCs w:val="24"/>
          <w:highlight w:val="none"/>
        </w:rPr>
        <w:t>供应商管理及业务承接办法；</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6</w:t>
      </w:r>
      <w:r>
        <w:rPr>
          <w:rFonts w:hint="eastAsia" w:cs="宋体" w:asciiTheme="minorEastAsia" w:hAnsiTheme="minorEastAsia" w:eastAsiaTheme="minorEastAsia"/>
          <w:kern w:val="10"/>
          <w:sz w:val="24"/>
          <w:szCs w:val="24"/>
          <w:highlight w:val="none"/>
        </w:rPr>
        <w:t>）投标文件格式；</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7</w:t>
      </w:r>
      <w:r>
        <w:rPr>
          <w:rFonts w:hint="eastAsia" w:cs="宋体" w:asciiTheme="minorEastAsia" w:hAnsiTheme="minorEastAsia" w:eastAsiaTheme="minorEastAsia"/>
          <w:kern w:val="10"/>
          <w:sz w:val="24"/>
          <w:szCs w:val="24"/>
          <w:highlight w:val="none"/>
        </w:rPr>
        <w:t>）投标人须知前附表规定的其他材料。</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根据本章第</w:t>
      </w:r>
      <w:r>
        <w:rPr>
          <w:rFonts w:cs="宋体" w:asciiTheme="minorEastAsia" w:hAnsiTheme="minorEastAsia" w:eastAsiaTheme="minorEastAsia"/>
          <w:kern w:val="10"/>
          <w:sz w:val="24"/>
          <w:szCs w:val="24"/>
          <w:highlight w:val="none"/>
        </w:rPr>
        <w:t>2.9</w:t>
      </w:r>
      <w:r>
        <w:rPr>
          <w:rFonts w:hint="eastAsia" w:cs="宋体" w:asciiTheme="minorEastAsia" w:hAnsiTheme="minorEastAsia" w:eastAsiaTheme="minorEastAsia"/>
          <w:kern w:val="10"/>
          <w:sz w:val="24"/>
          <w:szCs w:val="24"/>
          <w:highlight w:val="none"/>
        </w:rPr>
        <w:t>款、第</w:t>
      </w:r>
      <w:r>
        <w:rPr>
          <w:rFonts w:cs="宋体" w:asciiTheme="minorEastAsia" w:hAnsiTheme="minorEastAsia" w:eastAsiaTheme="minorEastAsia"/>
          <w:kern w:val="10"/>
          <w:sz w:val="24"/>
          <w:szCs w:val="24"/>
          <w:highlight w:val="none"/>
        </w:rPr>
        <w:t>3.2</w:t>
      </w:r>
      <w:r>
        <w:rPr>
          <w:rFonts w:hint="eastAsia" w:cs="宋体" w:asciiTheme="minorEastAsia" w:hAnsiTheme="minorEastAsia" w:eastAsiaTheme="minorEastAsia"/>
          <w:kern w:val="10"/>
          <w:sz w:val="24"/>
          <w:szCs w:val="24"/>
          <w:highlight w:val="none"/>
        </w:rPr>
        <w:t>款对招标文件所作的澄清修改，构成招标文件的组成部分。</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3.2 </w:t>
      </w:r>
      <w:r>
        <w:rPr>
          <w:rFonts w:hint="eastAsia" w:cs="宋体" w:asciiTheme="minorEastAsia" w:hAnsiTheme="minorEastAsia" w:eastAsiaTheme="minorEastAsia"/>
          <w:b/>
          <w:sz w:val="24"/>
          <w:szCs w:val="24"/>
          <w:highlight w:val="none"/>
        </w:rPr>
        <w:t>招标文件的澄清与修改</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3.2.1</w:t>
      </w:r>
      <w:r>
        <w:rPr>
          <w:rFonts w:hint="eastAsia" w:cs="宋体" w:asciiTheme="minorEastAsia" w:hAnsiTheme="minorEastAsia" w:eastAsiaTheme="minorEastAsia"/>
          <w:kern w:val="10"/>
          <w:sz w:val="24"/>
          <w:szCs w:val="24"/>
          <w:highlight w:val="none"/>
        </w:rPr>
        <w:t>任何要求澄清招标文件的投标人，均应按投标须知前附表中列明的答疑时间前，以邮件形式向招标代理机构提出。</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3.2.2</w:t>
      </w:r>
      <w:r>
        <w:rPr>
          <w:rFonts w:hint="eastAsia" w:cs="宋体" w:asciiTheme="minorEastAsia" w:hAnsiTheme="minorEastAsia" w:eastAsiaTheme="minorEastAsia"/>
          <w:kern w:val="10"/>
          <w:sz w:val="24"/>
          <w:szCs w:val="24"/>
          <w:highlight w:val="none"/>
        </w:rPr>
        <w:t>招标人和招标代理机构对招标文件进行的澄清、更正或补充，将在网站上及时发布，该澄清、更正或补充内容为招标文件的组成部分，对投标人具有约束力。投标人应主动上网查询。招标人和招标代理不承担投标人未及时关注相关信息的责任。</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3.2.3</w:t>
      </w:r>
      <w:r>
        <w:rPr>
          <w:rFonts w:hint="eastAsia" w:cs="宋体" w:asciiTheme="minorEastAsia" w:hAnsiTheme="minorEastAsia" w:eastAsiaTheme="minorEastAsia"/>
          <w:kern w:val="10"/>
          <w:sz w:val="24"/>
          <w:szCs w:val="24"/>
          <w:highlight w:val="none"/>
        </w:rPr>
        <w:t>在投标截止时间前，招标人可以视招标具体情况，延长投标截止时间和开标时间，并在招标文件要求提交投标文件的截止时间前，在网站上发布延迟公告。在上述情况下，招标人和投标人在投标截止期方面的全部权力、责任和义务，将适用于延长后新的投标截止期。投标人同意延长的，应相应延长其投标保证金的有效期，但不得要求或被允许修改或撤销其投标文件；投标人拒绝延长的，其投标失效，但投标人有权收回其投标保证金。</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3.2.4</w:t>
      </w:r>
      <w:r>
        <w:rPr>
          <w:rFonts w:hint="eastAsia" w:cs="宋体" w:asciiTheme="minorEastAsia" w:hAnsiTheme="minorEastAsia" w:eastAsiaTheme="minorEastAsia"/>
          <w:kern w:val="10"/>
          <w:sz w:val="24"/>
          <w:szCs w:val="24"/>
          <w:highlight w:val="none"/>
        </w:rPr>
        <w:t>特殊情况下，招标人对招标文件进行的澄清、更正或补充，征得投标人同意，可不改变投标截止时间和开标时间。</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bookmarkStart w:id="3" w:name="_Toc172171547"/>
      <w:bookmarkStart w:id="4" w:name="_Toc516969094"/>
      <w:r>
        <w:rPr>
          <w:rFonts w:cs="宋体" w:asciiTheme="minorEastAsia" w:hAnsiTheme="minorEastAsia" w:eastAsiaTheme="minorEastAsia"/>
          <w:b/>
          <w:bCs/>
          <w:sz w:val="24"/>
          <w:szCs w:val="24"/>
          <w:highlight w:val="none"/>
        </w:rPr>
        <w:t>4.</w:t>
      </w:r>
      <w:r>
        <w:rPr>
          <w:rFonts w:hint="eastAsia" w:cs="宋体" w:asciiTheme="minorEastAsia" w:hAnsiTheme="minorEastAsia" w:eastAsiaTheme="minorEastAsia"/>
          <w:b/>
          <w:bCs/>
          <w:sz w:val="24"/>
          <w:szCs w:val="24"/>
          <w:highlight w:val="none"/>
        </w:rPr>
        <w:t>投标文件</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4.1 </w:t>
      </w:r>
      <w:r>
        <w:rPr>
          <w:rFonts w:hint="eastAsia" w:cs="宋体" w:asciiTheme="minorEastAsia" w:hAnsiTheme="minorEastAsia" w:eastAsiaTheme="minorEastAsia"/>
          <w:b/>
          <w:sz w:val="24"/>
          <w:szCs w:val="24"/>
          <w:highlight w:val="none"/>
        </w:rPr>
        <w:t>投标文件的组成：</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评分索引表</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一、投标函；</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二、投标单位基本情况；</w:t>
      </w:r>
    </w:p>
    <w:p>
      <w:pPr>
        <w:adjustRightInd w:val="0"/>
        <w:snapToGrid w:val="0"/>
        <w:spacing w:line="500" w:lineRule="exact"/>
        <w:ind w:firstLine="56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三、法定代表人身份证明及授权委托书；</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hint="eastAsia" w:asciiTheme="minorEastAsia" w:hAnsiTheme="minorEastAsia" w:eastAsiaTheme="minorEastAsia"/>
          <w:bCs/>
          <w:sz w:val="24"/>
          <w:szCs w:val="24"/>
          <w:highlight w:val="none"/>
        </w:rPr>
        <w:t>四、</w:t>
      </w:r>
      <w:r>
        <w:rPr>
          <w:rFonts w:hint="eastAsia" w:cs="宋体" w:asciiTheme="minorEastAsia" w:hAnsiTheme="minorEastAsia" w:eastAsiaTheme="minorEastAsia"/>
          <w:sz w:val="24"/>
          <w:szCs w:val="24"/>
          <w:highlight w:val="none"/>
        </w:rPr>
        <w:t>承诺书；</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五、投标人声明；</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六、企业信誉证明文件（附相关证书复印件等）；</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七、企业业绩证明材料【附业绩一览表（格式自拟）及各业绩证明材料复印件】；</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八、人员素质【项目人员配备情况表（格式自拟）</w:t>
      </w:r>
      <w:r>
        <w:rPr>
          <w:rFonts w:cs="宋体" w:asciiTheme="minorEastAsia" w:hAnsiTheme="minorEastAsia" w:eastAsiaTheme="minorEastAsia"/>
          <w:sz w:val="24"/>
          <w:szCs w:val="24"/>
          <w:highlight w:val="none"/>
        </w:rPr>
        <w:t>,</w:t>
      </w:r>
      <w:r>
        <w:rPr>
          <w:rFonts w:hint="eastAsia" w:cs="宋体" w:asciiTheme="minorEastAsia" w:hAnsiTheme="minorEastAsia" w:eastAsiaTheme="minorEastAsia"/>
          <w:sz w:val="24"/>
          <w:szCs w:val="24"/>
          <w:highlight w:val="none"/>
        </w:rPr>
        <w:t>项目负责人简历、相关证书复印件，专业人员相关证书复印件</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项目人员身份证复印件，近6个月投标企业为其缴纳的社保证明复印件</w:t>
      </w:r>
      <w:r>
        <w:rPr>
          <w:rFonts w:hint="eastAsia" w:cs="宋体" w:asciiTheme="minorEastAsia" w:hAnsiTheme="minorEastAsia" w:eastAsiaTheme="minorEastAsia"/>
          <w:sz w:val="24"/>
          <w:szCs w:val="24"/>
          <w:highlight w:val="none"/>
        </w:rPr>
        <w:t>】；</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九、其它投标人认为需提交的材料。</w:t>
      </w:r>
    </w:p>
    <w:p>
      <w:pPr>
        <w:adjustRightInd w:val="0"/>
        <w:snapToGrid w:val="0"/>
        <w:spacing w:line="500" w:lineRule="exact"/>
        <w:ind w:firstLine="472" w:firstLineChars="196"/>
        <w:rPr>
          <w:rFonts w:cs="宋体" w:asciiTheme="minorEastAsia" w:hAnsiTheme="minorEastAsia" w:eastAsiaTheme="minorEastAsia"/>
          <w:kern w:val="10"/>
          <w:sz w:val="24"/>
          <w:szCs w:val="24"/>
          <w:highlight w:val="none"/>
        </w:rPr>
      </w:pPr>
      <w:r>
        <w:rPr>
          <w:rFonts w:cs="宋体" w:asciiTheme="minorEastAsia" w:hAnsiTheme="minorEastAsia" w:eastAsiaTheme="minorEastAsia"/>
          <w:b/>
          <w:sz w:val="24"/>
          <w:szCs w:val="24"/>
          <w:highlight w:val="none"/>
        </w:rPr>
        <w:t>4.2</w:t>
      </w:r>
      <w:r>
        <w:rPr>
          <w:rFonts w:hint="eastAsia" w:cs="宋体" w:asciiTheme="minorEastAsia" w:hAnsiTheme="minorEastAsia" w:eastAsiaTheme="minorEastAsia"/>
          <w:kern w:val="10"/>
          <w:sz w:val="24"/>
          <w:szCs w:val="24"/>
          <w:highlight w:val="none"/>
        </w:rPr>
        <w:t>投标文件必须按上述序号或顺序编制，并按规定格式填写投标文件资料清单。</w:t>
      </w:r>
      <w:bookmarkStart w:id="5" w:name="_Toc172171539"/>
    </w:p>
    <w:p>
      <w:pPr>
        <w:adjustRightInd w:val="0"/>
        <w:snapToGrid w:val="0"/>
        <w:spacing w:line="500" w:lineRule="exact"/>
        <w:ind w:firstLine="472"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b/>
          <w:sz w:val="24"/>
          <w:szCs w:val="24"/>
          <w:highlight w:val="none"/>
        </w:rPr>
        <w:t>4.3</w:t>
      </w:r>
      <w:r>
        <w:rPr>
          <w:rFonts w:hint="eastAsia" w:cs="宋体" w:asciiTheme="minorEastAsia" w:hAnsiTheme="minorEastAsia" w:eastAsiaTheme="minorEastAsia"/>
          <w:b/>
          <w:sz w:val="24"/>
          <w:szCs w:val="24"/>
          <w:highlight w:val="none"/>
        </w:rPr>
        <w:t>招标文件提供格式的，</w:t>
      </w:r>
      <w:r>
        <w:rPr>
          <w:rFonts w:hint="eastAsia" w:cs="宋体" w:asciiTheme="minorEastAsia" w:hAnsiTheme="minorEastAsia" w:eastAsiaTheme="minorEastAsia"/>
          <w:sz w:val="24"/>
          <w:szCs w:val="24"/>
          <w:highlight w:val="none"/>
        </w:rPr>
        <w:t>投标文件须使用招标文件提供的格式，并可按同样格式扩展。</w:t>
      </w:r>
    </w:p>
    <w:p>
      <w:pPr>
        <w:adjustRightInd w:val="0"/>
        <w:snapToGrid w:val="0"/>
        <w:spacing w:line="500" w:lineRule="exact"/>
        <w:ind w:firstLine="472"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b/>
          <w:sz w:val="24"/>
          <w:szCs w:val="24"/>
          <w:highlight w:val="none"/>
        </w:rPr>
        <w:t>4.4</w:t>
      </w:r>
      <w:r>
        <w:rPr>
          <w:rFonts w:hint="eastAsia" w:cs="宋体" w:asciiTheme="minorEastAsia" w:hAnsiTheme="minorEastAsia" w:eastAsiaTheme="minorEastAsia"/>
          <w:sz w:val="24"/>
          <w:szCs w:val="24"/>
          <w:highlight w:val="none"/>
        </w:rPr>
        <w:t>投标文件及往来函件均须用中文书写。</w:t>
      </w:r>
    </w:p>
    <w:bookmarkEnd w:id="5"/>
    <w:p>
      <w:pPr>
        <w:spacing w:line="500" w:lineRule="exact"/>
        <w:ind w:firstLine="472" w:firstLineChars="196"/>
        <w:rPr>
          <w:rFonts w:cs="宋体" w:asciiTheme="minorEastAsia" w:hAnsiTheme="minorEastAsia" w:eastAsiaTheme="minorEastAsia"/>
          <w:b/>
          <w:sz w:val="24"/>
          <w:szCs w:val="24"/>
          <w:highlight w:val="none"/>
          <w:u w:val="single"/>
        </w:rPr>
      </w:pPr>
      <w:r>
        <w:rPr>
          <w:rFonts w:cs="宋体" w:asciiTheme="minorEastAsia" w:hAnsiTheme="minorEastAsia" w:eastAsiaTheme="minorEastAsia"/>
          <w:b/>
          <w:sz w:val="24"/>
          <w:szCs w:val="24"/>
          <w:highlight w:val="none"/>
        </w:rPr>
        <w:t>4.5</w:t>
      </w:r>
      <w:r>
        <w:rPr>
          <w:rFonts w:hint="eastAsia" w:cs="宋体" w:asciiTheme="minorEastAsia" w:hAnsiTheme="minorEastAsia" w:eastAsiaTheme="minorEastAsia"/>
          <w:b/>
          <w:sz w:val="24"/>
          <w:szCs w:val="24"/>
          <w:highlight w:val="none"/>
        </w:rPr>
        <w:t>证明投标人合格和资格的文件。</w:t>
      </w:r>
    </w:p>
    <w:p>
      <w:pPr>
        <w:spacing w:line="500" w:lineRule="exact"/>
        <w:ind w:firstLine="482" w:firstLineChars="200"/>
        <w:rPr>
          <w:rFonts w:cs="宋体" w:asciiTheme="minorEastAsia" w:hAnsiTheme="minorEastAsia" w:eastAsiaTheme="minorEastAsia"/>
          <w:b/>
          <w:kern w:val="10"/>
          <w:sz w:val="24"/>
          <w:szCs w:val="24"/>
          <w:highlight w:val="none"/>
        </w:rPr>
      </w:pPr>
      <w:r>
        <w:rPr>
          <w:rFonts w:cs="宋体" w:asciiTheme="minorEastAsia" w:hAnsiTheme="minorEastAsia" w:eastAsiaTheme="minorEastAsia"/>
          <w:b/>
          <w:kern w:val="10"/>
          <w:sz w:val="24"/>
          <w:szCs w:val="24"/>
          <w:highlight w:val="none"/>
        </w:rPr>
        <w:t>4.5.1</w:t>
      </w:r>
      <w:r>
        <w:rPr>
          <w:rFonts w:hint="eastAsia" w:cs="宋体" w:asciiTheme="minorEastAsia" w:hAnsiTheme="minorEastAsia" w:eastAsiaTheme="minorEastAsia"/>
          <w:b/>
          <w:kern w:val="10"/>
          <w:sz w:val="24"/>
          <w:szCs w:val="24"/>
          <w:highlight w:val="none"/>
        </w:rPr>
        <w:t>投标人应在投标文件中提交招标文件要求的资格证明文件，并作为其投标文件的一部分。</w:t>
      </w:r>
    </w:p>
    <w:p>
      <w:pPr>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1</w:t>
      </w:r>
      <w:r>
        <w:rPr>
          <w:rFonts w:hint="eastAsia" w:cs="宋体" w:asciiTheme="minorEastAsia" w:hAnsiTheme="minorEastAsia" w:eastAsiaTheme="minorEastAsia"/>
          <w:kern w:val="10"/>
          <w:sz w:val="24"/>
          <w:szCs w:val="24"/>
          <w:highlight w:val="none"/>
        </w:rPr>
        <w:t>）投标人应具有履行合同所需的生产、技术和财务能力；</w:t>
      </w:r>
    </w:p>
    <w:p>
      <w:pPr>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2</w:t>
      </w:r>
      <w:r>
        <w:rPr>
          <w:rFonts w:hint="eastAsia" w:cs="宋体" w:asciiTheme="minorEastAsia" w:hAnsiTheme="minorEastAsia" w:eastAsiaTheme="minorEastAsia"/>
          <w:kern w:val="10"/>
          <w:sz w:val="24"/>
          <w:szCs w:val="24"/>
          <w:highlight w:val="none"/>
        </w:rPr>
        <w:t>）投标人应有能力履行招标文件规定的由中标人履行技术服务的义务。</w:t>
      </w:r>
    </w:p>
    <w:p>
      <w:pPr>
        <w:adjustRightInd w:val="0"/>
        <w:snapToGrid w:val="0"/>
        <w:spacing w:line="500" w:lineRule="exact"/>
        <w:ind w:firstLine="472" w:firstLineChars="196"/>
        <w:rPr>
          <w:rFonts w:cs="宋体" w:asciiTheme="minorEastAsia" w:hAnsiTheme="minorEastAsia" w:eastAsiaTheme="minorEastAsia"/>
          <w:kern w:val="10"/>
          <w:sz w:val="24"/>
          <w:szCs w:val="24"/>
          <w:highlight w:val="none"/>
        </w:rPr>
      </w:pPr>
      <w:r>
        <w:rPr>
          <w:rFonts w:cs="宋体" w:asciiTheme="minorEastAsia" w:hAnsiTheme="minorEastAsia" w:eastAsiaTheme="minorEastAsia"/>
          <w:b/>
          <w:sz w:val="24"/>
          <w:szCs w:val="24"/>
          <w:highlight w:val="none"/>
        </w:rPr>
        <w:t>4.6</w:t>
      </w:r>
      <w:r>
        <w:rPr>
          <w:rFonts w:hint="eastAsia" w:cs="宋体" w:asciiTheme="minorEastAsia" w:hAnsiTheme="minorEastAsia" w:eastAsiaTheme="minorEastAsia"/>
          <w:kern w:val="10"/>
          <w:sz w:val="24"/>
          <w:szCs w:val="24"/>
          <w:highlight w:val="none"/>
        </w:rPr>
        <w:t>投标人应认真阅读招标文件中所有的事项、格式、条件、条款和规范等要求。</w:t>
      </w:r>
    </w:p>
    <w:p>
      <w:pPr>
        <w:adjustRightInd w:val="0"/>
        <w:snapToGrid w:val="0"/>
        <w:spacing w:line="500" w:lineRule="exact"/>
        <w:ind w:firstLine="472"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b/>
          <w:sz w:val="24"/>
          <w:szCs w:val="24"/>
          <w:highlight w:val="none"/>
        </w:rPr>
        <w:t xml:space="preserve">4.7 </w:t>
      </w:r>
      <w:r>
        <w:rPr>
          <w:rFonts w:hint="eastAsia" w:cs="宋体" w:asciiTheme="minorEastAsia" w:hAnsiTheme="minorEastAsia" w:eastAsiaTheme="minorEastAsia"/>
          <w:kern w:val="10"/>
          <w:sz w:val="24"/>
          <w:szCs w:val="24"/>
          <w:highlight w:val="none"/>
        </w:rPr>
        <w:t>投标人应按照招标文件的要求，规范、明确、准时的提交投标文件。如果没有按照招标文件的要求提交全部资料并保证所提供全部资料的真实性、合法性、有效性，或没有对招标文件做出实质性响应，其风险应由投标人自行承担。根据有关条款规定，其投标有可能被拒绝。</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4.8 </w:t>
      </w:r>
      <w:r>
        <w:rPr>
          <w:rFonts w:hint="eastAsia" w:cs="宋体" w:asciiTheme="minorEastAsia" w:hAnsiTheme="minorEastAsia" w:eastAsiaTheme="minorEastAsia"/>
          <w:b/>
          <w:sz w:val="24"/>
          <w:szCs w:val="24"/>
          <w:highlight w:val="none"/>
        </w:rPr>
        <w:t>投标有效期</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4.8.1 </w:t>
      </w:r>
      <w:r>
        <w:rPr>
          <w:rFonts w:hint="eastAsia" w:cs="宋体" w:asciiTheme="minorEastAsia" w:hAnsiTheme="minorEastAsia" w:eastAsiaTheme="minorEastAsia"/>
          <w:kern w:val="10"/>
          <w:sz w:val="24"/>
          <w:szCs w:val="24"/>
          <w:highlight w:val="none"/>
        </w:rPr>
        <w:t>在投标人须知前附表规定的投标有效期内，投标人不得要求撤销或修改其投标文件。</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4.8.2</w:t>
      </w:r>
      <w:r>
        <w:rPr>
          <w:rFonts w:hint="eastAsia" w:cs="宋体" w:asciiTheme="minorEastAsia" w:hAnsiTheme="minorEastAsia" w:eastAsiaTheme="minorEastAsia"/>
          <w:kern w:val="10"/>
          <w:sz w:val="24"/>
          <w:szCs w:val="24"/>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4.9投标保证金</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4.9.1</w:t>
      </w:r>
      <w:r>
        <w:rPr>
          <w:rFonts w:hint="eastAsia" w:cs="宋体" w:asciiTheme="minorEastAsia" w:hAnsiTheme="minorEastAsia" w:eastAsiaTheme="minorEastAsia"/>
          <w:kern w:val="10"/>
          <w:sz w:val="24"/>
          <w:szCs w:val="24"/>
          <w:highlight w:val="none"/>
        </w:rPr>
        <w:t>详见投标人须知前附表。</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如投标人发生下列情况之一时，其中标资格无效，投标保证金不予退还，同时记不良行为，视情节给予投标人3</w:t>
      </w:r>
      <w:r>
        <w:rPr>
          <w:rFonts w:hint="eastAsia" w:cs="宋体" w:asciiTheme="minorEastAsia" w:hAnsiTheme="minorEastAsia" w:eastAsiaTheme="minorEastAsia"/>
          <w:kern w:val="10"/>
          <w:sz w:val="24"/>
          <w:szCs w:val="24"/>
          <w:highlight w:val="none"/>
        </w:rPr>
        <w:t>年不得在六安市叶集区承接代理业务的处罚。</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.1</w:t>
      </w:r>
      <w:r>
        <w:rPr>
          <w:rFonts w:hint="eastAsia" w:cs="宋体" w:asciiTheme="minorEastAsia" w:hAnsiTheme="minorEastAsia" w:eastAsiaTheme="minorEastAsia"/>
          <w:kern w:val="10"/>
          <w:sz w:val="24"/>
          <w:szCs w:val="24"/>
          <w:highlight w:val="none"/>
        </w:rPr>
        <w:t>投标人在投标担保提交后至投标有效期内撤回投标文件的；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.2</w:t>
      </w:r>
      <w:r>
        <w:rPr>
          <w:rFonts w:hint="eastAsia" w:cs="宋体" w:asciiTheme="minorEastAsia" w:hAnsiTheme="minorEastAsia" w:eastAsiaTheme="minorEastAsia"/>
          <w:kern w:val="10"/>
          <w:sz w:val="24"/>
          <w:szCs w:val="24"/>
          <w:highlight w:val="none"/>
        </w:rPr>
        <w:t>中标人未能在规定期限内按照招标文件规定提交履约保证金的；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.3</w:t>
      </w:r>
      <w:r>
        <w:rPr>
          <w:rFonts w:hint="eastAsia" w:cs="宋体" w:asciiTheme="minorEastAsia" w:hAnsiTheme="minorEastAsia" w:eastAsiaTheme="minorEastAsia"/>
          <w:kern w:val="10"/>
          <w:sz w:val="24"/>
          <w:szCs w:val="24"/>
          <w:highlight w:val="none"/>
        </w:rPr>
        <w:t>投标人中标后因自身原因放弃中标人资格的；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.4</w:t>
      </w:r>
      <w:r>
        <w:rPr>
          <w:rFonts w:hint="eastAsia" w:cs="宋体" w:asciiTheme="minorEastAsia" w:hAnsiTheme="minorEastAsia" w:eastAsiaTheme="minorEastAsia"/>
          <w:kern w:val="10"/>
          <w:sz w:val="24"/>
          <w:szCs w:val="24"/>
          <w:highlight w:val="none"/>
        </w:rPr>
        <w:t>投标人故意不领取中标通知书，或者收到中标通知书后无正当理由未按本招标文件规定的时间与招标人签订合同的；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.5</w:t>
      </w:r>
      <w:r>
        <w:rPr>
          <w:rFonts w:hint="eastAsia" w:cs="宋体" w:asciiTheme="minorEastAsia" w:hAnsiTheme="minorEastAsia" w:eastAsiaTheme="minorEastAsia"/>
          <w:kern w:val="10"/>
          <w:sz w:val="24"/>
          <w:szCs w:val="24"/>
          <w:highlight w:val="none"/>
        </w:rPr>
        <w:t>中标人在签订合同时向招标人提出附加条件或要求更改本招标文件所附合同内容的；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.6</w:t>
      </w:r>
      <w:r>
        <w:rPr>
          <w:rFonts w:hint="eastAsia" w:cs="宋体" w:asciiTheme="minorEastAsia" w:hAnsiTheme="minorEastAsia" w:eastAsiaTheme="minorEastAsia"/>
          <w:kern w:val="10"/>
          <w:sz w:val="24"/>
          <w:szCs w:val="24"/>
          <w:highlight w:val="none"/>
        </w:rPr>
        <w:t>发现中标人属于违反本招标文件的规定进行弄虚作假骗取中标或进行围标、串标的；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.7</w:t>
      </w:r>
      <w:r>
        <w:rPr>
          <w:rFonts w:hint="eastAsia" w:cs="宋体" w:asciiTheme="minorEastAsia" w:hAnsiTheme="minorEastAsia" w:eastAsiaTheme="minorEastAsia"/>
          <w:kern w:val="10"/>
          <w:sz w:val="24"/>
          <w:szCs w:val="24"/>
          <w:highlight w:val="none"/>
        </w:rPr>
        <w:t>中标的主要班子成员不是投标单位工作人员的；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.8</w:t>
      </w:r>
      <w:r>
        <w:rPr>
          <w:rFonts w:hint="eastAsia" w:cs="宋体" w:asciiTheme="minorEastAsia" w:hAnsiTheme="minorEastAsia" w:eastAsiaTheme="minorEastAsia"/>
          <w:kern w:val="10"/>
          <w:sz w:val="24"/>
          <w:szCs w:val="24"/>
          <w:highlight w:val="none"/>
        </w:rPr>
        <w:t>投标人允许他人以自己名义投标的；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.9</w:t>
      </w:r>
      <w:r>
        <w:rPr>
          <w:rFonts w:hint="eastAsia" w:cs="宋体" w:asciiTheme="minorEastAsia" w:hAnsiTheme="minorEastAsia" w:eastAsiaTheme="minorEastAsia"/>
          <w:kern w:val="10"/>
          <w:sz w:val="24"/>
          <w:szCs w:val="24"/>
          <w:highlight w:val="none"/>
        </w:rPr>
        <w:t>非中标的投标人违反本招标文件的规定弄虚作假的或进行围标、串标的；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.10</w:t>
      </w:r>
      <w:r>
        <w:rPr>
          <w:rFonts w:hint="eastAsia" w:cs="宋体" w:asciiTheme="minorEastAsia" w:hAnsiTheme="minorEastAsia" w:eastAsiaTheme="minorEastAsia"/>
          <w:kern w:val="10"/>
          <w:sz w:val="24"/>
          <w:szCs w:val="24"/>
          <w:highlight w:val="none"/>
        </w:rPr>
        <w:t>投标人在招投标活动中存在其他违规和违法行为的；</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.11</w:t>
      </w:r>
      <w:r>
        <w:rPr>
          <w:rFonts w:hint="eastAsia" w:cs="宋体" w:asciiTheme="minorEastAsia" w:hAnsiTheme="minorEastAsia" w:eastAsiaTheme="minorEastAsia"/>
          <w:kern w:val="10"/>
          <w:sz w:val="24"/>
          <w:szCs w:val="24"/>
          <w:highlight w:val="none"/>
        </w:rPr>
        <w:t>中标候选人之间相互串通，采取由中标人放弃中标，而由中标候选人中标的，其中标无效，各参与者的投标保证金不予退还；</w:t>
      </w:r>
    </w:p>
    <w:p>
      <w:pPr>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4.9.</w:t>
      </w:r>
      <w:r>
        <w:rPr>
          <w:rFonts w:hint="eastAsia" w:cs="宋体" w:asciiTheme="minorEastAsia" w:hAnsiTheme="minorEastAsia" w:eastAsiaTheme="minorEastAsia"/>
          <w:kern w:val="10"/>
          <w:sz w:val="24"/>
          <w:szCs w:val="24"/>
          <w:highlight w:val="none"/>
        </w:rPr>
        <w:t>2</w:t>
      </w:r>
      <w:r>
        <w:rPr>
          <w:rFonts w:cs="宋体" w:asciiTheme="minorEastAsia" w:hAnsiTheme="minorEastAsia" w:eastAsiaTheme="minorEastAsia"/>
          <w:kern w:val="10"/>
          <w:sz w:val="24"/>
          <w:szCs w:val="24"/>
          <w:highlight w:val="none"/>
        </w:rPr>
        <w:t>.12</w:t>
      </w:r>
      <w:r>
        <w:rPr>
          <w:rFonts w:hint="eastAsia" w:cs="宋体" w:asciiTheme="minorEastAsia" w:hAnsiTheme="minorEastAsia" w:eastAsiaTheme="minorEastAsia"/>
          <w:kern w:val="10"/>
          <w:sz w:val="24"/>
          <w:szCs w:val="24"/>
          <w:highlight w:val="none"/>
        </w:rPr>
        <w:t>经公共资源交易监督管理部门（招标监督管理部门）依法认定的其他违反相关法律、法规和规章的行为。</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4.10备选投标方案：不接受。</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4.11投标文件的编制</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4.11.1</w:t>
      </w:r>
      <w:r>
        <w:rPr>
          <w:rFonts w:hint="eastAsia" w:asciiTheme="minorEastAsia" w:hAnsiTheme="minorEastAsia" w:eastAsiaTheme="minorEastAsia"/>
          <w:kern w:val="10"/>
          <w:sz w:val="24"/>
          <w:szCs w:val="24"/>
          <w:highlight w:val="none"/>
        </w:rPr>
        <w:t>投标文件应按“投标文件格式”，如有必要，可以增加附页，作为投标文件的组成部分</w:t>
      </w:r>
      <w:r>
        <w:rPr>
          <w:rFonts w:hint="eastAsia" w:cs="宋体" w:asciiTheme="minorEastAsia" w:hAnsiTheme="minorEastAsia" w:eastAsiaTheme="minorEastAsia"/>
          <w:kern w:val="10"/>
          <w:sz w:val="24"/>
          <w:szCs w:val="24"/>
          <w:highlight w:val="none"/>
        </w:rPr>
        <w:t>。</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4.11.2 </w:t>
      </w:r>
      <w:r>
        <w:rPr>
          <w:rFonts w:hint="eastAsia" w:cs="宋体" w:asciiTheme="minorEastAsia" w:hAnsiTheme="minorEastAsia" w:eastAsiaTheme="minorEastAsia"/>
          <w:kern w:val="10"/>
          <w:sz w:val="24"/>
          <w:szCs w:val="24"/>
          <w:highlight w:val="none"/>
        </w:rPr>
        <w:t>投标文件应当对招标文件的服务要求等内容作出实质性响应。</w:t>
      </w:r>
    </w:p>
    <w:p>
      <w:pPr>
        <w:spacing w:line="500" w:lineRule="exact"/>
        <w:ind w:firstLine="482" w:firstLineChars="200"/>
        <w:rPr>
          <w:rFonts w:cs="宋体" w:asciiTheme="minorEastAsia" w:hAnsiTheme="minorEastAsia" w:eastAsiaTheme="minorEastAsia"/>
          <w:bCs/>
          <w:kern w:val="10"/>
          <w:sz w:val="24"/>
          <w:szCs w:val="24"/>
          <w:highlight w:val="none"/>
        </w:rPr>
      </w:pPr>
      <w:r>
        <w:rPr>
          <w:rFonts w:cs="宋体" w:asciiTheme="minorEastAsia" w:hAnsiTheme="minorEastAsia" w:eastAsiaTheme="minorEastAsia"/>
          <w:b/>
          <w:kern w:val="10"/>
          <w:sz w:val="24"/>
          <w:szCs w:val="24"/>
          <w:highlight w:val="none"/>
        </w:rPr>
        <w:t>4.11.3</w:t>
      </w:r>
      <w:r>
        <w:rPr>
          <w:rFonts w:hint="eastAsia" w:asciiTheme="minorEastAsia" w:hAnsiTheme="minorEastAsia" w:eastAsiaTheme="minorEastAsia"/>
          <w:kern w:val="10"/>
          <w:sz w:val="24"/>
          <w:szCs w:val="24"/>
          <w:highlight w:val="none"/>
        </w:rPr>
        <w:t>投标文件应用不褪色的材料打印，并按招标文件要求签字、盖章。投标文件应尽量避免涂改，行间插字或删除。如果出现上述情况，改动之处应加盖单位公章或由投标人的法定代表人</w:t>
      </w:r>
      <w:r>
        <w:rPr>
          <w:rFonts w:asciiTheme="minorEastAsia" w:hAnsiTheme="minorEastAsia" w:eastAsiaTheme="minorEastAsia"/>
          <w:kern w:val="10"/>
          <w:sz w:val="24"/>
          <w:szCs w:val="24"/>
          <w:highlight w:val="none"/>
        </w:rPr>
        <w:t>(</w:t>
      </w:r>
      <w:r>
        <w:rPr>
          <w:rFonts w:hint="eastAsia" w:asciiTheme="minorEastAsia" w:hAnsiTheme="minorEastAsia" w:eastAsiaTheme="minorEastAsia"/>
          <w:kern w:val="10"/>
          <w:sz w:val="24"/>
          <w:szCs w:val="24"/>
          <w:highlight w:val="none"/>
        </w:rPr>
        <w:t>或授权委托人</w:t>
      </w:r>
      <w:r>
        <w:rPr>
          <w:rFonts w:asciiTheme="minorEastAsia" w:hAnsiTheme="minorEastAsia" w:eastAsiaTheme="minorEastAsia"/>
          <w:kern w:val="10"/>
          <w:sz w:val="24"/>
          <w:szCs w:val="24"/>
          <w:highlight w:val="none"/>
        </w:rPr>
        <w:t>)</w:t>
      </w:r>
      <w:r>
        <w:rPr>
          <w:rFonts w:hint="eastAsia" w:asciiTheme="minorEastAsia" w:hAnsiTheme="minorEastAsia" w:eastAsiaTheme="minorEastAsia"/>
          <w:kern w:val="10"/>
          <w:sz w:val="24"/>
          <w:szCs w:val="24"/>
          <w:highlight w:val="none"/>
        </w:rPr>
        <w:t>签字确认。</w:t>
      </w:r>
      <w:r>
        <w:rPr>
          <w:rFonts w:hint="eastAsia" w:asciiTheme="minorEastAsia" w:hAnsiTheme="minorEastAsia" w:eastAsiaTheme="minorEastAsia"/>
          <w:bCs/>
          <w:kern w:val="10"/>
          <w:sz w:val="24"/>
          <w:szCs w:val="24"/>
          <w:highlight w:val="none"/>
        </w:rPr>
        <w:t>本项目不接受以电话、传真等形式的投标。</w:t>
      </w:r>
    </w:p>
    <w:p>
      <w:pPr>
        <w:adjustRightInd w:val="0"/>
        <w:snapToGrid w:val="0"/>
        <w:spacing w:line="500" w:lineRule="exact"/>
        <w:ind w:firstLine="482" w:firstLineChars="200"/>
        <w:rPr>
          <w:rFonts w:asciiTheme="minorEastAsia" w:hAnsiTheme="minorEastAsia" w:eastAsiaTheme="minorEastAsia"/>
          <w:b/>
          <w:kern w:val="10"/>
          <w:sz w:val="24"/>
          <w:szCs w:val="24"/>
          <w:highlight w:val="none"/>
        </w:rPr>
      </w:pPr>
      <w:r>
        <w:rPr>
          <w:rFonts w:asciiTheme="minorEastAsia" w:hAnsiTheme="minorEastAsia" w:eastAsiaTheme="minorEastAsia"/>
          <w:b/>
          <w:kern w:val="10"/>
          <w:sz w:val="24"/>
          <w:szCs w:val="24"/>
          <w:highlight w:val="none"/>
        </w:rPr>
        <w:t xml:space="preserve">4.11.4 </w:t>
      </w:r>
      <w:r>
        <w:rPr>
          <w:rFonts w:hint="eastAsia" w:asciiTheme="minorEastAsia" w:hAnsiTheme="minorEastAsia" w:eastAsiaTheme="minorEastAsia"/>
          <w:b/>
          <w:kern w:val="10"/>
          <w:sz w:val="24"/>
          <w:szCs w:val="24"/>
          <w:highlight w:val="none"/>
        </w:rPr>
        <w:t>投标文件正本份数</w:t>
      </w:r>
      <w:r>
        <w:rPr>
          <w:rFonts w:hint="eastAsia" w:asciiTheme="minorEastAsia" w:hAnsiTheme="minorEastAsia" w:eastAsiaTheme="minorEastAsia"/>
          <w:b/>
          <w:kern w:val="10"/>
          <w:sz w:val="24"/>
          <w:szCs w:val="24"/>
          <w:highlight w:val="none"/>
          <w:u w:val="single"/>
        </w:rPr>
        <w:t>壹份</w:t>
      </w:r>
      <w:r>
        <w:rPr>
          <w:rFonts w:hint="eastAsia" w:asciiTheme="minorEastAsia" w:hAnsiTheme="minorEastAsia" w:eastAsiaTheme="minorEastAsia"/>
          <w:b/>
          <w:kern w:val="10"/>
          <w:sz w:val="24"/>
          <w:szCs w:val="24"/>
          <w:highlight w:val="none"/>
        </w:rPr>
        <w:t>、副本份数为</w:t>
      </w:r>
      <w:r>
        <w:rPr>
          <w:rFonts w:hint="eastAsia" w:asciiTheme="minorEastAsia" w:hAnsiTheme="minorEastAsia" w:eastAsiaTheme="minorEastAsia"/>
          <w:b/>
          <w:kern w:val="10"/>
          <w:sz w:val="24"/>
          <w:szCs w:val="24"/>
          <w:highlight w:val="none"/>
          <w:u w:val="single"/>
        </w:rPr>
        <w:t>肆份</w:t>
      </w:r>
      <w:r>
        <w:rPr>
          <w:rFonts w:hint="eastAsia" w:asciiTheme="minorEastAsia" w:hAnsiTheme="minorEastAsia" w:eastAsiaTheme="minorEastAsia"/>
          <w:b/>
          <w:kern w:val="10"/>
          <w:sz w:val="24"/>
          <w:szCs w:val="24"/>
          <w:highlight w:val="none"/>
        </w:rPr>
        <w:t>，分别在投标文件的封面上应清楚地标记“正本”或“副本”的字样。当副本和正本内容不一致时，以正本为准。</w:t>
      </w:r>
    </w:p>
    <w:p>
      <w:pPr>
        <w:adjustRightInd w:val="0"/>
        <w:snapToGrid w:val="0"/>
        <w:spacing w:line="500" w:lineRule="exact"/>
        <w:ind w:firstLine="482" w:firstLineChars="200"/>
        <w:rPr>
          <w:rFonts w:asciiTheme="minorEastAsia" w:hAnsiTheme="minorEastAsia" w:eastAsiaTheme="minorEastAsia"/>
          <w:b/>
          <w:kern w:val="10"/>
          <w:sz w:val="24"/>
          <w:szCs w:val="24"/>
          <w:highlight w:val="none"/>
        </w:rPr>
      </w:pPr>
      <w:r>
        <w:rPr>
          <w:rFonts w:cs="宋体" w:asciiTheme="minorEastAsia" w:hAnsiTheme="minorEastAsia" w:eastAsiaTheme="minorEastAsia"/>
          <w:b/>
          <w:kern w:val="10"/>
          <w:sz w:val="24"/>
          <w:szCs w:val="24"/>
          <w:highlight w:val="none"/>
        </w:rPr>
        <w:t xml:space="preserve">4.12.5 </w:t>
      </w:r>
      <w:r>
        <w:rPr>
          <w:rFonts w:hint="eastAsia" w:asciiTheme="minorEastAsia" w:hAnsiTheme="minorEastAsia" w:eastAsiaTheme="minorEastAsia"/>
          <w:b/>
          <w:kern w:val="10"/>
          <w:sz w:val="24"/>
          <w:szCs w:val="24"/>
          <w:highlight w:val="none"/>
        </w:rPr>
        <w:t>投标文件的正、副本须分开装订成册，并编制目录、评分索引</w:t>
      </w:r>
      <w:r>
        <w:rPr>
          <w:rFonts w:asciiTheme="minorEastAsia" w:hAnsiTheme="minorEastAsia" w:eastAsiaTheme="minorEastAsia"/>
          <w:b/>
          <w:kern w:val="10"/>
          <w:sz w:val="24"/>
          <w:szCs w:val="24"/>
          <w:highlight w:val="none"/>
        </w:rPr>
        <w:t>,</w:t>
      </w:r>
      <w:r>
        <w:rPr>
          <w:rFonts w:hint="eastAsia" w:asciiTheme="minorEastAsia" w:hAnsiTheme="minorEastAsia" w:eastAsiaTheme="minorEastAsia"/>
          <w:b/>
          <w:kern w:val="10"/>
          <w:sz w:val="24"/>
          <w:szCs w:val="24"/>
          <w:highlight w:val="none"/>
        </w:rPr>
        <w:t>具体装订要求见投标人须知前附表规定。</w:t>
      </w:r>
    </w:p>
    <w:p>
      <w:pPr>
        <w:adjustRightInd w:val="0"/>
        <w:snapToGrid w:val="0"/>
        <w:spacing w:line="500" w:lineRule="exact"/>
        <w:ind w:firstLine="470" w:firstLineChars="196"/>
        <w:rPr>
          <w:rFonts w:cs="宋体" w:asciiTheme="minorEastAsia" w:hAnsiTheme="minorEastAsia" w:eastAsiaTheme="minorEastAsia"/>
          <w:bCs/>
          <w:sz w:val="24"/>
          <w:szCs w:val="24"/>
          <w:highlight w:val="none"/>
        </w:rPr>
      </w:pPr>
      <w:r>
        <w:rPr>
          <w:rFonts w:cs="宋体" w:asciiTheme="minorEastAsia" w:hAnsiTheme="minorEastAsia" w:eastAsiaTheme="minorEastAsia"/>
          <w:bCs/>
          <w:sz w:val="24"/>
          <w:szCs w:val="24"/>
          <w:highlight w:val="none"/>
        </w:rPr>
        <w:t>5.</w:t>
      </w:r>
      <w:r>
        <w:rPr>
          <w:rFonts w:hint="eastAsia" w:cs="宋体" w:asciiTheme="minorEastAsia" w:hAnsiTheme="minorEastAsia" w:eastAsiaTheme="minorEastAsia"/>
          <w:bCs/>
          <w:sz w:val="24"/>
          <w:szCs w:val="24"/>
          <w:highlight w:val="none"/>
        </w:rPr>
        <w:t>投标</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 xml:space="preserve">5.1 </w:t>
      </w:r>
      <w:r>
        <w:rPr>
          <w:rFonts w:hint="eastAsia" w:cs="宋体" w:asciiTheme="minorEastAsia" w:hAnsiTheme="minorEastAsia" w:eastAsiaTheme="minorEastAsia"/>
          <w:sz w:val="24"/>
          <w:szCs w:val="24"/>
          <w:highlight w:val="none"/>
        </w:rPr>
        <w:t>投标文件的密封和标记</w:t>
      </w:r>
    </w:p>
    <w:p>
      <w:pPr>
        <w:adjustRightInd w:val="0"/>
        <w:snapToGrid w:val="0"/>
        <w:spacing w:line="500" w:lineRule="exact"/>
        <w:ind w:firstLine="482" w:firstLineChars="200"/>
        <w:rPr>
          <w:rFonts w:asciiTheme="minorEastAsia" w:hAnsiTheme="minorEastAsia" w:eastAsiaTheme="minorEastAsia"/>
          <w:b/>
          <w:kern w:val="10"/>
          <w:sz w:val="24"/>
          <w:szCs w:val="24"/>
          <w:highlight w:val="none"/>
        </w:rPr>
      </w:pPr>
      <w:r>
        <w:rPr>
          <w:rFonts w:cs="宋体" w:asciiTheme="minorEastAsia" w:hAnsiTheme="minorEastAsia" w:eastAsiaTheme="minorEastAsia"/>
          <w:b/>
          <w:kern w:val="10"/>
          <w:sz w:val="24"/>
          <w:szCs w:val="24"/>
          <w:highlight w:val="none"/>
        </w:rPr>
        <w:t>5.1.1</w:t>
      </w:r>
      <w:r>
        <w:rPr>
          <w:rFonts w:hint="eastAsia" w:asciiTheme="minorEastAsia" w:hAnsiTheme="minorEastAsia" w:eastAsiaTheme="minorEastAsia"/>
          <w:sz w:val="24"/>
          <w:szCs w:val="24"/>
          <w:highlight w:val="none"/>
        </w:rPr>
        <w:t>投标文件的正本和副本应分别用牛皮纸袋密封（即正本一个封装、副本一个封袋），密封袋封口处应密封，并应加盖投标人公章及</w:t>
      </w:r>
      <w:r>
        <w:rPr>
          <w:rFonts w:hint="eastAsia" w:asciiTheme="minorEastAsia" w:hAnsiTheme="minorEastAsia" w:eastAsiaTheme="minorEastAsia"/>
          <w:kern w:val="10"/>
          <w:sz w:val="24"/>
          <w:szCs w:val="24"/>
          <w:highlight w:val="none"/>
        </w:rPr>
        <w:t>法定代表人（或委托代理人）签字。</w:t>
      </w:r>
    </w:p>
    <w:p>
      <w:pPr>
        <w:adjustRightInd w:val="0"/>
        <w:snapToGrid w:val="0"/>
        <w:spacing w:line="500" w:lineRule="exact"/>
        <w:ind w:firstLine="482" w:firstLineChars="200"/>
        <w:rPr>
          <w:rFonts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5.1.2 </w:t>
      </w:r>
      <w:r>
        <w:rPr>
          <w:rFonts w:hint="eastAsia" w:asciiTheme="minorEastAsia" w:hAnsiTheme="minorEastAsia" w:eastAsiaTheme="minorEastAsia"/>
          <w:kern w:val="10"/>
          <w:sz w:val="24"/>
          <w:szCs w:val="24"/>
          <w:highlight w:val="none"/>
        </w:rPr>
        <w:t>投标文件的封袋上应清楚地标记“正本”或“副本”字样，封袋上应写明的其他内容见投标人须知前附表。</w:t>
      </w:r>
    </w:p>
    <w:p>
      <w:pPr>
        <w:adjustRightInd w:val="0"/>
        <w:snapToGrid w:val="0"/>
        <w:spacing w:line="500" w:lineRule="exact"/>
        <w:ind w:firstLine="482" w:firstLineChars="200"/>
        <w:rPr>
          <w:rFonts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5.1.3 </w:t>
      </w:r>
      <w:r>
        <w:rPr>
          <w:rFonts w:hint="eastAsia" w:asciiTheme="minorEastAsia" w:hAnsiTheme="minorEastAsia" w:eastAsiaTheme="minorEastAsia"/>
          <w:kern w:val="10"/>
          <w:sz w:val="24"/>
          <w:szCs w:val="24"/>
          <w:highlight w:val="none"/>
        </w:rPr>
        <w:t>未按本章第</w:t>
      </w:r>
      <w:r>
        <w:rPr>
          <w:rFonts w:asciiTheme="minorEastAsia" w:hAnsiTheme="minorEastAsia" w:eastAsiaTheme="minorEastAsia"/>
          <w:kern w:val="10"/>
          <w:sz w:val="24"/>
          <w:szCs w:val="24"/>
          <w:highlight w:val="none"/>
        </w:rPr>
        <w:t>5.1.1</w:t>
      </w:r>
      <w:r>
        <w:rPr>
          <w:rFonts w:hint="eastAsia" w:asciiTheme="minorEastAsia" w:hAnsiTheme="minorEastAsia" w:eastAsiaTheme="minorEastAsia"/>
          <w:kern w:val="10"/>
          <w:sz w:val="24"/>
          <w:szCs w:val="24"/>
          <w:highlight w:val="none"/>
        </w:rPr>
        <w:t>项或第</w:t>
      </w:r>
      <w:r>
        <w:rPr>
          <w:rFonts w:asciiTheme="minorEastAsia" w:hAnsiTheme="minorEastAsia" w:eastAsiaTheme="minorEastAsia"/>
          <w:kern w:val="10"/>
          <w:sz w:val="24"/>
          <w:szCs w:val="24"/>
          <w:highlight w:val="none"/>
        </w:rPr>
        <w:t>5.1.2</w:t>
      </w:r>
      <w:r>
        <w:rPr>
          <w:rFonts w:hint="eastAsia" w:asciiTheme="minorEastAsia" w:hAnsiTheme="minorEastAsia" w:eastAsiaTheme="minorEastAsia"/>
          <w:kern w:val="10"/>
          <w:sz w:val="24"/>
          <w:szCs w:val="24"/>
          <w:highlight w:val="none"/>
        </w:rPr>
        <w:t>项要求密封和加写标记的投标文件，招标人不予接受。</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5.2 </w:t>
      </w:r>
      <w:r>
        <w:rPr>
          <w:rFonts w:hint="eastAsia" w:cs="宋体" w:asciiTheme="minorEastAsia" w:hAnsiTheme="minorEastAsia" w:eastAsiaTheme="minorEastAsia"/>
          <w:b/>
          <w:sz w:val="24"/>
          <w:szCs w:val="24"/>
          <w:highlight w:val="none"/>
        </w:rPr>
        <w:t>投标文件的递交</w:t>
      </w:r>
    </w:p>
    <w:p>
      <w:pPr>
        <w:adjustRightInd w:val="0"/>
        <w:snapToGrid w:val="0"/>
        <w:spacing w:line="500" w:lineRule="exact"/>
        <w:ind w:firstLine="482" w:firstLineChars="200"/>
        <w:rPr>
          <w:rFonts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5.2.1 </w:t>
      </w:r>
      <w:r>
        <w:rPr>
          <w:rFonts w:hint="eastAsia" w:asciiTheme="minorEastAsia" w:hAnsiTheme="minorEastAsia" w:eastAsiaTheme="minorEastAsia"/>
          <w:kern w:val="10"/>
          <w:sz w:val="24"/>
          <w:szCs w:val="24"/>
          <w:highlight w:val="none"/>
        </w:rPr>
        <w:t>投标人应在本章投标人须知前附表规定的投标截止时间前递交投标文件。</w:t>
      </w:r>
    </w:p>
    <w:p>
      <w:pPr>
        <w:adjustRightInd w:val="0"/>
        <w:snapToGrid w:val="0"/>
        <w:spacing w:line="500" w:lineRule="exact"/>
        <w:ind w:firstLine="482" w:firstLineChars="200"/>
        <w:rPr>
          <w:rFonts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5.2.2</w:t>
      </w:r>
      <w:r>
        <w:rPr>
          <w:rFonts w:hint="eastAsia" w:asciiTheme="minorEastAsia" w:hAnsiTheme="minorEastAsia" w:eastAsiaTheme="minorEastAsia"/>
          <w:kern w:val="10"/>
          <w:sz w:val="24"/>
          <w:szCs w:val="24"/>
          <w:highlight w:val="none"/>
        </w:rPr>
        <w:t>投标人递交投标文件的地点：见投标人须知前附表。</w:t>
      </w:r>
    </w:p>
    <w:p>
      <w:pPr>
        <w:adjustRightInd w:val="0"/>
        <w:snapToGrid w:val="0"/>
        <w:spacing w:line="500" w:lineRule="exact"/>
        <w:ind w:firstLine="482" w:firstLineChars="200"/>
        <w:rPr>
          <w:rFonts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5.2.3 </w:t>
      </w:r>
      <w:r>
        <w:rPr>
          <w:rFonts w:hint="eastAsia" w:asciiTheme="minorEastAsia" w:hAnsiTheme="minorEastAsia" w:eastAsiaTheme="minorEastAsia"/>
          <w:kern w:val="10"/>
          <w:sz w:val="24"/>
          <w:szCs w:val="24"/>
          <w:highlight w:val="none"/>
        </w:rPr>
        <w:t>除投标人须知前附表另有规定外，投标人所递交的投标文件不予退还。</w:t>
      </w:r>
    </w:p>
    <w:p>
      <w:pPr>
        <w:adjustRightInd w:val="0"/>
        <w:snapToGrid w:val="0"/>
        <w:spacing w:line="500" w:lineRule="exact"/>
        <w:ind w:firstLine="482" w:firstLineChars="200"/>
        <w:rPr>
          <w:rFonts w:asciiTheme="minorEastAsia" w:hAnsiTheme="minorEastAsia" w:eastAsiaTheme="minorEastAsia"/>
          <w:sz w:val="24"/>
          <w:szCs w:val="24"/>
          <w:highlight w:val="none"/>
        </w:rPr>
      </w:pPr>
      <w:r>
        <w:rPr>
          <w:rFonts w:cs="宋体" w:asciiTheme="minorEastAsia" w:hAnsiTheme="minorEastAsia" w:eastAsiaTheme="minorEastAsia"/>
          <w:b/>
          <w:kern w:val="10"/>
          <w:sz w:val="24"/>
          <w:szCs w:val="24"/>
          <w:highlight w:val="none"/>
        </w:rPr>
        <w:t>5.2.4</w:t>
      </w:r>
      <w:r>
        <w:rPr>
          <w:rFonts w:hint="eastAsia" w:asciiTheme="minorEastAsia" w:hAnsiTheme="minorEastAsia" w:eastAsiaTheme="minorEastAsia"/>
          <w:sz w:val="24"/>
          <w:szCs w:val="24"/>
          <w:highlight w:val="none"/>
        </w:rPr>
        <w:t>投标文件有下列情形之一的，将不予受理：</w:t>
      </w:r>
    </w:p>
    <w:p>
      <w:pPr>
        <w:adjustRightInd w:val="0"/>
        <w:snapToGrid w:val="0"/>
        <w:spacing w:line="500" w:lineRule="exact"/>
        <w:ind w:firstLine="480" w:firstLineChars="200"/>
        <w:rPr>
          <w:rFonts w:asciiTheme="minorEastAsia" w:hAnsiTheme="minorEastAsia" w:eastAsiaTheme="minorEastAsia"/>
          <w:kern w:val="10"/>
          <w:sz w:val="24"/>
          <w:szCs w:val="24"/>
          <w:highlight w:val="none"/>
        </w:rPr>
      </w:pPr>
      <w:r>
        <w:rPr>
          <w:rFonts w:hint="eastAsia" w:asciiTheme="minorEastAsia" w:hAnsiTheme="minorEastAsia" w:eastAsiaTheme="minorEastAsia"/>
          <w:kern w:val="10"/>
          <w:sz w:val="24"/>
          <w:szCs w:val="24"/>
          <w:highlight w:val="none"/>
        </w:rPr>
        <w:t>（</w:t>
      </w:r>
      <w:r>
        <w:rPr>
          <w:rFonts w:asciiTheme="minorEastAsia" w:hAnsiTheme="minorEastAsia" w:eastAsiaTheme="minorEastAsia"/>
          <w:kern w:val="10"/>
          <w:sz w:val="24"/>
          <w:szCs w:val="24"/>
          <w:highlight w:val="none"/>
        </w:rPr>
        <w:t>1</w:t>
      </w:r>
      <w:r>
        <w:rPr>
          <w:rFonts w:hint="eastAsia" w:asciiTheme="minorEastAsia" w:hAnsiTheme="minorEastAsia" w:eastAsiaTheme="minorEastAsia"/>
          <w:kern w:val="10"/>
          <w:sz w:val="24"/>
          <w:szCs w:val="24"/>
          <w:highlight w:val="none"/>
        </w:rPr>
        <w:t>）逾期送达的或者未送达指定地点的投标文件；</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kern w:val="10"/>
          <w:sz w:val="24"/>
          <w:szCs w:val="24"/>
          <w:highlight w:val="none"/>
        </w:rPr>
        <w:t>（</w:t>
      </w:r>
      <w:r>
        <w:rPr>
          <w:rFonts w:asciiTheme="minorEastAsia" w:hAnsiTheme="minorEastAsia" w:eastAsiaTheme="minorEastAsia"/>
          <w:kern w:val="10"/>
          <w:sz w:val="24"/>
          <w:szCs w:val="24"/>
          <w:highlight w:val="none"/>
        </w:rPr>
        <w:t>2</w:t>
      </w:r>
      <w:r>
        <w:rPr>
          <w:rFonts w:hint="eastAsia" w:asciiTheme="minorEastAsia" w:hAnsiTheme="minorEastAsia" w:eastAsiaTheme="minorEastAsia"/>
          <w:kern w:val="10"/>
          <w:sz w:val="24"/>
          <w:szCs w:val="24"/>
          <w:highlight w:val="none"/>
        </w:rPr>
        <w:t>）</w:t>
      </w:r>
      <w:r>
        <w:rPr>
          <w:rFonts w:hint="eastAsia" w:asciiTheme="minorEastAsia" w:hAnsiTheme="minorEastAsia" w:eastAsiaTheme="minorEastAsia"/>
          <w:sz w:val="24"/>
          <w:szCs w:val="24"/>
          <w:highlight w:val="none"/>
        </w:rPr>
        <w:t>未按招标文件要求包装、密封的。</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5.3 </w:t>
      </w:r>
      <w:r>
        <w:rPr>
          <w:rFonts w:hint="eastAsia" w:cs="宋体" w:asciiTheme="minorEastAsia" w:hAnsiTheme="minorEastAsia" w:eastAsiaTheme="minorEastAsia"/>
          <w:b/>
          <w:sz w:val="24"/>
          <w:szCs w:val="24"/>
          <w:highlight w:val="none"/>
        </w:rPr>
        <w:t>投标文件的修改与撤回</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5.3.1</w:t>
      </w:r>
      <w:r>
        <w:rPr>
          <w:rFonts w:hint="eastAsia" w:cs="宋体" w:asciiTheme="minorEastAsia" w:hAnsiTheme="minorEastAsia" w:eastAsiaTheme="minorEastAsia"/>
          <w:kern w:val="10"/>
          <w:sz w:val="24"/>
          <w:szCs w:val="24"/>
          <w:highlight w:val="none"/>
        </w:rPr>
        <w:t>在本章投标人须知前附表规定的投标截止时间前，投标人可以修改或撤回已递交的投标文件，但应以书面形式通知招标人。</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5.3.2 </w:t>
      </w:r>
      <w:r>
        <w:rPr>
          <w:rFonts w:hint="eastAsia" w:cs="宋体" w:asciiTheme="minorEastAsia" w:hAnsiTheme="minorEastAsia" w:eastAsiaTheme="minorEastAsia"/>
          <w:kern w:val="10"/>
          <w:sz w:val="24"/>
          <w:szCs w:val="24"/>
          <w:highlight w:val="none"/>
        </w:rPr>
        <w:t>投标人修改或撤回已递交投标文件的书面通知书</w:t>
      </w:r>
      <w:r>
        <w:rPr>
          <w:rFonts w:hint="eastAsia" w:asciiTheme="minorEastAsia" w:hAnsiTheme="minorEastAsia" w:eastAsiaTheme="minorEastAsia"/>
          <w:kern w:val="10"/>
          <w:sz w:val="24"/>
          <w:szCs w:val="24"/>
          <w:highlight w:val="none"/>
        </w:rPr>
        <w:t>加盖单位公章或由投标人的法定代表人</w:t>
      </w:r>
      <w:r>
        <w:rPr>
          <w:rFonts w:asciiTheme="minorEastAsia" w:hAnsiTheme="minorEastAsia" w:eastAsiaTheme="minorEastAsia"/>
          <w:kern w:val="10"/>
          <w:sz w:val="24"/>
          <w:szCs w:val="24"/>
          <w:highlight w:val="none"/>
        </w:rPr>
        <w:t>(</w:t>
      </w:r>
      <w:r>
        <w:rPr>
          <w:rFonts w:hint="eastAsia" w:asciiTheme="minorEastAsia" w:hAnsiTheme="minorEastAsia" w:eastAsiaTheme="minorEastAsia"/>
          <w:kern w:val="10"/>
          <w:sz w:val="24"/>
          <w:szCs w:val="24"/>
          <w:highlight w:val="none"/>
        </w:rPr>
        <w:t>或授权委托人</w:t>
      </w:r>
      <w:r>
        <w:rPr>
          <w:rFonts w:asciiTheme="minorEastAsia" w:hAnsiTheme="minorEastAsia" w:eastAsiaTheme="minorEastAsia"/>
          <w:kern w:val="10"/>
          <w:sz w:val="24"/>
          <w:szCs w:val="24"/>
          <w:highlight w:val="none"/>
        </w:rPr>
        <w:t>)</w:t>
      </w:r>
      <w:r>
        <w:rPr>
          <w:rFonts w:hint="eastAsia" w:asciiTheme="minorEastAsia" w:hAnsiTheme="minorEastAsia" w:eastAsiaTheme="minorEastAsia"/>
          <w:kern w:val="10"/>
          <w:sz w:val="24"/>
          <w:szCs w:val="24"/>
          <w:highlight w:val="none"/>
        </w:rPr>
        <w:t>签字</w:t>
      </w:r>
      <w:r>
        <w:rPr>
          <w:rFonts w:hint="eastAsia" w:cs="宋体" w:asciiTheme="minorEastAsia" w:hAnsiTheme="minorEastAsia" w:eastAsiaTheme="minorEastAsia"/>
          <w:kern w:val="10"/>
          <w:sz w:val="24"/>
          <w:szCs w:val="24"/>
          <w:highlight w:val="none"/>
        </w:rPr>
        <w:t>。</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kern w:val="10"/>
          <w:sz w:val="24"/>
          <w:szCs w:val="24"/>
          <w:highlight w:val="none"/>
        </w:rPr>
        <w:t xml:space="preserve">5.3.3 </w:t>
      </w:r>
      <w:r>
        <w:rPr>
          <w:rFonts w:hint="eastAsia" w:cs="宋体" w:asciiTheme="minorEastAsia" w:hAnsiTheme="minorEastAsia" w:eastAsiaTheme="minorEastAsia"/>
          <w:kern w:val="10"/>
          <w:sz w:val="24"/>
          <w:szCs w:val="24"/>
          <w:highlight w:val="none"/>
        </w:rPr>
        <w:t>修改的内容为投标文件的组成部分。修改的投标文件应按照本章第</w:t>
      </w:r>
      <w:r>
        <w:rPr>
          <w:rFonts w:cs="宋体" w:asciiTheme="minorEastAsia" w:hAnsiTheme="minorEastAsia" w:eastAsiaTheme="minorEastAsia"/>
          <w:kern w:val="10"/>
          <w:sz w:val="24"/>
          <w:szCs w:val="24"/>
          <w:highlight w:val="none"/>
        </w:rPr>
        <w:t>4.12</w:t>
      </w:r>
      <w:r>
        <w:rPr>
          <w:rFonts w:hint="eastAsia" w:cs="宋体" w:asciiTheme="minorEastAsia" w:hAnsiTheme="minorEastAsia" w:eastAsiaTheme="minorEastAsia"/>
          <w:kern w:val="10"/>
          <w:sz w:val="24"/>
          <w:szCs w:val="24"/>
          <w:highlight w:val="none"/>
        </w:rPr>
        <w:t>条、第</w:t>
      </w:r>
      <w:r>
        <w:rPr>
          <w:rFonts w:cs="宋体" w:asciiTheme="minorEastAsia" w:hAnsiTheme="minorEastAsia" w:eastAsiaTheme="minorEastAsia"/>
          <w:kern w:val="10"/>
          <w:sz w:val="24"/>
          <w:szCs w:val="24"/>
          <w:highlight w:val="none"/>
        </w:rPr>
        <w:t>5.1</w:t>
      </w:r>
      <w:r>
        <w:rPr>
          <w:rFonts w:hint="eastAsia" w:cs="宋体" w:asciiTheme="minorEastAsia" w:hAnsiTheme="minorEastAsia" w:eastAsiaTheme="minorEastAsia"/>
          <w:kern w:val="10"/>
          <w:sz w:val="24"/>
          <w:szCs w:val="24"/>
          <w:highlight w:val="none"/>
        </w:rPr>
        <w:t>条、第</w:t>
      </w:r>
      <w:r>
        <w:rPr>
          <w:rFonts w:cs="宋体" w:asciiTheme="minorEastAsia" w:hAnsiTheme="minorEastAsia" w:eastAsiaTheme="minorEastAsia"/>
          <w:kern w:val="10"/>
          <w:sz w:val="24"/>
          <w:szCs w:val="24"/>
          <w:highlight w:val="none"/>
        </w:rPr>
        <w:t>5.2</w:t>
      </w:r>
      <w:r>
        <w:rPr>
          <w:rFonts w:hint="eastAsia" w:cs="宋体" w:asciiTheme="minorEastAsia" w:hAnsiTheme="minorEastAsia" w:eastAsiaTheme="minorEastAsia"/>
          <w:kern w:val="10"/>
          <w:sz w:val="24"/>
          <w:szCs w:val="24"/>
          <w:highlight w:val="none"/>
        </w:rPr>
        <w:t>条规定进行编制、密封、标记和递交，并标明“修改”字样。</w:t>
      </w:r>
    </w:p>
    <w:p>
      <w:pPr>
        <w:adjustRightInd w:val="0"/>
        <w:snapToGrid w:val="0"/>
        <w:spacing w:line="500" w:lineRule="exact"/>
        <w:ind w:firstLine="470" w:firstLineChars="196"/>
        <w:rPr>
          <w:rFonts w:cs="宋体" w:asciiTheme="minorEastAsia" w:hAnsiTheme="minorEastAsia" w:eastAsiaTheme="minorEastAsia"/>
          <w:bCs/>
          <w:sz w:val="24"/>
          <w:szCs w:val="24"/>
          <w:highlight w:val="none"/>
        </w:rPr>
      </w:pPr>
      <w:r>
        <w:rPr>
          <w:rFonts w:cs="宋体" w:asciiTheme="minorEastAsia" w:hAnsiTheme="minorEastAsia" w:eastAsiaTheme="minorEastAsia"/>
          <w:bCs/>
          <w:sz w:val="24"/>
          <w:szCs w:val="24"/>
          <w:highlight w:val="none"/>
        </w:rPr>
        <w:t>6.</w:t>
      </w:r>
      <w:r>
        <w:rPr>
          <w:rFonts w:hint="eastAsia" w:cs="宋体" w:asciiTheme="minorEastAsia" w:hAnsiTheme="minorEastAsia" w:eastAsiaTheme="minorEastAsia"/>
          <w:bCs/>
          <w:sz w:val="24"/>
          <w:szCs w:val="24"/>
          <w:highlight w:val="none"/>
        </w:rPr>
        <w:t>开标</w:t>
      </w:r>
    </w:p>
    <w:p>
      <w:pPr>
        <w:adjustRightInd w:val="0"/>
        <w:snapToGrid w:val="0"/>
        <w:spacing w:line="500" w:lineRule="exact"/>
        <w:ind w:firstLine="482" w:firstLineChars="200"/>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6.1 </w:t>
      </w:r>
      <w:r>
        <w:rPr>
          <w:rFonts w:hint="eastAsia" w:cs="宋体" w:asciiTheme="minorEastAsia" w:hAnsiTheme="minorEastAsia" w:eastAsiaTheme="minorEastAsia"/>
          <w:b/>
          <w:sz w:val="24"/>
          <w:szCs w:val="24"/>
          <w:highlight w:val="none"/>
        </w:rPr>
        <w:t>开标时间和地点</w:t>
      </w:r>
    </w:p>
    <w:p>
      <w:pPr>
        <w:spacing w:line="500" w:lineRule="exact"/>
        <w:ind w:firstLine="480" w:firstLineChars="200"/>
        <w:rPr>
          <w:rFonts w:ascii="宋体" w:hAnsi="宋体"/>
          <w:sz w:val="24"/>
          <w:szCs w:val="24"/>
          <w:highlight w:val="none"/>
          <w:shd w:val="clear" w:color="auto" w:fill="FFFFFF"/>
        </w:rPr>
      </w:pPr>
      <w:r>
        <w:rPr>
          <w:rFonts w:hint="eastAsia" w:ascii="宋体" w:hAnsi="宋体"/>
          <w:sz w:val="24"/>
          <w:szCs w:val="24"/>
          <w:highlight w:val="none"/>
          <w:shd w:val="clear" w:color="auto" w:fill="FFFFFF"/>
        </w:rPr>
        <w:t>招标人应当按照本项目招标文件规定的时间和地点公开开标，本项目每个投标人仅确定一名授权委托人参加开标会议，授权委托人需出示本人二代居民身份证原件（不能出示二代身份证的，应提供户籍所在地公安机关出具的证明原件）、</w:t>
      </w:r>
      <w:r>
        <w:rPr>
          <w:rFonts w:hint="eastAsia" w:ascii="宋体" w:hAnsi="宋体"/>
          <w:b w:val="0"/>
          <w:bCs w:val="0"/>
          <w:sz w:val="24"/>
          <w:szCs w:val="24"/>
          <w:highlight w:val="none"/>
          <w:shd w:val="clear" w:color="auto" w:fill="FFFFFF"/>
          <w:lang w:val="en-US" w:eastAsia="zh-CN"/>
        </w:rPr>
        <w:t>投标保证金回执单、</w:t>
      </w:r>
      <w:r>
        <w:rPr>
          <w:rFonts w:hint="eastAsia" w:ascii="宋体" w:hAnsi="宋体"/>
          <w:b w:val="0"/>
          <w:bCs w:val="0"/>
          <w:sz w:val="24"/>
          <w:szCs w:val="24"/>
          <w:highlight w:val="none"/>
          <w:shd w:val="clear" w:color="auto" w:fill="FFFFFF"/>
        </w:rPr>
        <w:t>有效</w:t>
      </w:r>
      <w:r>
        <w:rPr>
          <w:rFonts w:hint="eastAsia" w:ascii="宋体" w:hAnsi="宋体"/>
          <w:sz w:val="24"/>
          <w:szCs w:val="24"/>
          <w:highlight w:val="none"/>
          <w:shd w:val="clear" w:color="auto" w:fill="FFFFFF"/>
        </w:rPr>
        <w:t>的授权委托书原件和本人新冠病毒疫苗接种记录（接种记录为“安康码”内疫苗接种信息或接种证明，若是有疫苗接种禁忌症人员须提供新冠病毒疫苗接种禁忌证明）和本人7日内（核酸检测证明出具日期必须在本项目投标截止日前7日内）的核酸检测阴性证明，同时出示疫情防控情况承诺书原件及本人持有的“安康码”。凡不能出示上述有效证件或到场人员与证件载明的人员不一致或未出席开标会议者，投标文件不予接受，投标资格无效。</w:t>
      </w:r>
    </w:p>
    <w:p>
      <w:pPr>
        <w:adjustRightInd w:val="0"/>
        <w:snapToGrid w:val="0"/>
        <w:spacing w:line="500" w:lineRule="exact"/>
        <w:ind w:firstLine="482" w:firstLineChars="200"/>
        <w:rPr>
          <w:rFonts w:asciiTheme="minorEastAsia" w:hAnsiTheme="minorEastAsia" w:eastAsiaTheme="minorEastAsia"/>
          <w:b/>
          <w:sz w:val="24"/>
          <w:szCs w:val="24"/>
          <w:highlight w:val="none"/>
        </w:rPr>
      </w:pP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6.2 </w:t>
      </w:r>
      <w:r>
        <w:rPr>
          <w:rFonts w:hint="eastAsia" w:cs="宋体" w:asciiTheme="minorEastAsia" w:hAnsiTheme="minorEastAsia" w:eastAsiaTheme="minorEastAsia"/>
          <w:b/>
          <w:sz w:val="24"/>
          <w:szCs w:val="24"/>
          <w:highlight w:val="none"/>
        </w:rPr>
        <w:t>开标程序</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开标由招标人或招标代理主持，主持人并按下列程序进行：</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⑴介绍参加开标会人员；</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⑵宣读开标纪律；</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⑶公布在投标截止时间前递交投标文件的投标人名称，招标人、监督人对投标人的法定代表人或其授权委托代理人及投标项目负责人到场情况进行查验（查验内容见</w:t>
      </w:r>
      <w:r>
        <w:rPr>
          <w:rFonts w:asciiTheme="minorEastAsia" w:hAnsiTheme="minorEastAsia" w:eastAsiaTheme="minorEastAsia"/>
          <w:sz w:val="24"/>
          <w:szCs w:val="24"/>
          <w:highlight w:val="none"/>
        </w:rPr>
        <w:t>6.1</w:t>
      </w:r>
      <w:r>
        <w:rPr>
          <w:rFonts w:hint="eastAsia" w:asciiTheme="minorEastAsia" w:hAnsiTheme="minorEastAsia" w:eastAsiaTheme="minorEastAsia"/>
          <w:sz w:val="24"/>
          <w:szCs w:val="24"/>
          <w:highlight w:val="none"/>
        </w:rPr>
        <w:t>条）；</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⑷邀请投标人代表相互检查投标文件密封情况：宣布检查结果并签字确认；</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⑸将标书密封完好且身份查验合格的投标人投标文件及相关原件送交评标委员会进行评审；</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⑹宣布投标文件初步评审、评分等情况；</w:t>
      </w:r>
    </w:p>
    <w:p>
      <w:pPr>
        <w:adjustRightInd w:val="0"/>
        <w:snapToGrid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⑺宣布评标结果。</w:t>
      </w:r>
    </w:p>
    <w:p>
      <w:pPr>
        <w:adjustRightInd w:val="0"/>
        <w:snapToGrid w:val="0"/>
        <w:spacing w:line="500" w:lineRule="exact"/>
        <w:ind w:firstLine="470" w:firstLineChars="196"/>
        <w:rPr>
          <w:rFonts w:cs="宋体" w:asciiTheme="minorEastAsia" w:hAnsiTheme="minorEastAsia" w:eastAsiaTheme="minorEastAsia"/>
          <w:bCs/>
          <w:sz w:val="24"/>
          <w:szCs w:val="24"/>
          <w:highlight w:val="none"/>
        </w:rPr>
      </w:pPr>
      <w:r>
        <w:rPr>
          <w:rFonts w:cs="宋体" w:asciiTheme="minorEastAsia" w:hAnsiTheme="minorEastAsia" w:eastAsiaTheme="minorEastAsia"/>
          <w:bCs/>
          <w:sz w:val="24"/>
          <w:szCs w:val="24"/>
          <w:highlight w:val="none"/>
        </w:rPr>
        <w:t>7.</w:t>
      </w:r>
      <w:r>
        <w:rPr>
          <w:rFonts w:hint="eastAsia" w:cs="宋体" w:asciiTheme="minorEastAsia" w:hAnsiTheme="minorEastAsia" w:eastAsiaTheme="minorEastAsia"/>
          <w:bCs/>
          <w:sz w:val="24"/>
          <w:szCs w:val="24"/>
          <w:highlight w:val="none"/>
        </w:rPr>
        <w:t>评标</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7.1 </w:t>
      </w:r>
      <w:r>
        <w:rPr>
          <w:rFonts w:hint="eastAsia" w:cs="宋体" w:asciiTheme="minorEastAsia" w:hAnsiTheme="minorEastAsia" w:eastAsiaTheme="minorEastAsia"/>
          <w:b/>
          <w:sz w:val="24"/>
          <w:szCs w:val="24"/>
          <w:highlight w:val="none"/>
        </w:rPr>
        <w:t>评标委员会</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sz w:val="24"/>
          <w:szCs w:val="24"/>
          <w:highlight w:val="none"/>
        </w:rPr>
        <w:t xml:space="preserve">7.1.1 </w:t>
      </w:r>
      <w:r>
        <w:rPr>
          <w:rFonts w:hint="eastAsia" w:cs="宋体" w:asciiTheme="minorEastAsia" w:hAnsiTheme="minorEastAsia" w:eastAsiaTheme="minorEastAsia"/>
          <w:kern w:val="10"/>
          <w:sz w:val="24"/>
          <w:szCs w:val="24"/>
          <w:highlight w:val="none"/>
        </w:rPr>
        <w:t>评标由招标人依法组建的评标委员会负责。评标委员会由招标人代表，以及有关技术、经济等方面的专家组成。评标委员会成员人数以及技术、经济等方面专家的确定方式见投标人须知前附表。</w:t>
      </w:r>
    </w:p>
    <w:p>
      <w:pPr>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sz w:val="24"/>
          <w:szCs w:val="24"/>
          <w:highlight w:val="none"/>
        </w:rPr>
        <w:t>7.1.2</w:t>
      </w:r>
      <w:r>
        <w:rPr>
          <w:rFonts w:hint="eastAsia" w:cs="宋体" w:asciiTheme="minorEastAsia" w:hAnsiTheme="minorEastAsia" w:eastAsiaTheme="minorEastAsia"/>
          <w:kern w:val="10"/>
          <w:sz w:val="24"/>
          <w:szCs w:val="24"/>
          <w:highlight w:val="none"/>
        </w:rPr>
        <w:t>评标委员会成员有下列情形之一的，应当回避；</w:t>
      </w:r>
    </w:p>
    <w:p>
      <w:pPr>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1</w:t>
      </w:r>
      <w:r>
        <w:rPr>
          <w:rFonts w:hint="eastAsia" w:cs="宋体" w:asciiTheme="minorEastAsia" w:hAnsiTheme="minorEastAsia" w:eastAsiaTheme="minorEastAsia"/>
          <w:kern w:val="10"/>
          <w:sz w:val="24"/>
          <w:szCs w:val="24"/>
          <w:highlight w:val="none"/>
        </w:rPr>
        <w:t>）投标人或投标人的主要负责人的近亲属；</w:t>
      </w:r>
    </w:p>
    <w:p>
      <w:pPr>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2</w:t>
      </w:r>
      <w:r>
        <w:rPr>
          <w:rFonts w:hint="eastAsia" w:cs="宋体" w:asciiTheme="minorEastAsia" w:hAnsiTheme="minorEastAsia" w:eastAsiaTheme="minorEastAsia"/>
          <w:kern w:val="10"/>
          <w:sz w:val="24"/>
          <w:szCs w:val="24"/>
          <w:highlight w:val="none"/>
        </w:rPr>
        <w:t>）项目主管部门或者行政监督部门的人员；</w:t>
      </w:r>
    </w:p>
    <w:p>
      <w:pPr>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3</w:t>
      </w:r>
      <w:r>
        <w:rPr>
          <w:rFonts w:hint="eastAsia" w:cs="宋体" w:asciiTheme="minorEastAsia" w:hAnsiTheme="minorEastAsia" w:eastAsiaTheme="minorEastAsia"/>
          <w:kern w:val="10"/>
          <w:sz w:val="24"/>
          <w:szCs w:val="24"/>
          <w:highlight w:val="none"/>
        </w:rPr>
        <w:t>）与投标人有经济利益关系，可能影响对投标公正评审的；</w:t>
      </w:r>
    </w:p>
    <w:p>
      <w:pPr>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w:t>
      </w:r>
      <w:r>
        <w:rPr>
          <w:rFonts w:cs="宋体" w:asciiTheme="minorEastAsia" w:hAnsiTheme="minorEastAsia" w:eastAsiaTheme="minorEastAsia"/>
          <w:kern w:val="10"/>
          <w:sz w:val="24"/>
          <w:szCs w:val="24"/>
          <w:highlight w:val="none"/>
        </w:rPr>
        <w:t>4</w:t>
      </w:r>
      <w:r>
        <w:rPr>
          <w:rFonts w:hint="eastAsia" w:cs="宋体" w:asciiTheme="minorEastAsia" w:hAnsiTheme="minorEastAsia" w:eastAsiaTheme="minorEastAsia"/>
          <w:kern w:val="10"/>
          <w:sz w:val="24"/>
          <w:szCs w:val="24"/>
          <w:highlight w:val="none"/>
        </w:rPr>
        <w:t>）曾因在招标、评标以及其他与招标投标有关活动中从事违法行为而受过行政处罚或刑事处罚的。</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7.2 </w:t>
      </w:r>
      <w:r>
        <w:rPr>
          <w:rFonts w:hint="eastAsia" w:cs="宋体" w:asciiTheme="minorEastAsia" w:hAnsiTheme="minorEastAsia" w:eastAsiaTheme="minorEastAsia"/>
          <w:b/>
          <w:sz w:val="24"/>
          <w:szCs w:val="24"/>
          <w:highlight w:val="none"/>
        </w:rPr>
        <w:t>评标原则</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评标活动遵循公平、公正、科学和择优的原则。</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7.3 </w:t>
      </w:r>
      <w:r>
        <w:rPr>
          <w:rFonts w:hint="eastAsia" w:cs="宋体" w:asciiTheme="minorEastAsia" w:hAnsiTheme="minorEastAsia" w:eastAsiaTheme="minorEastAsia"/>
          <w:b/>
          <w:sz w:val="24"/>
          <w:szCs w:val="24"/>
          <w:highlight w:val="none"/>
        </w:rPr>
        <w:t>评标</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评标委员会按照第三章“评审办法”规定的方法、评审因素、标准和程序对投标文件进行评审。第三章“评审办法”等没有规定的方法、评审因素和标准，不作为评标依据。</w:t>
      </w:r>
    </w:p>
    <w:p>
      <w:pPr>
        <w:adjustRightInd w:val="0"/>
        <w:snapToGrid w:val="0"/>
        <w:spacing w:line="500" w:lineRule="exact"/>
        <w:ind w:firstLine="470" w:firstLineChars="196"/>
        <w:rPr>
          <w:rFonts w:cs="宋体" w:asciiTheme="minorEastAsia" w:hAnsiTheme="minorEastAsia" w:eastAsiaTheme="minorEastAsia"/>
          <w:bCs/>
          <w:sz w:val="24"/>
          <w:szCs w:val="24"/>
          <w:highlight w:val="none"/>
        </w:rPr>
      </w:pPr>
      <w:r>
        <w:rPr>
          <w:rFonts w:cs="宋体" w:asciiTheme="minorEastAsia" w:hAnsiTheme="minorEastAsia" w:eastAsiaTheme="minorEastAsia"/>
          <w:bCs/>
          <w:sz w:val="24"/>
          <w:szCs w:val="24"/>
          <w:highlight w:val="none"/>
        </w:rPr>
        <w:t>8.</w:t>
      </w:r>
      <w:r>
        <w:rPr>
          <w:rFonts w:hint="eastAsia" w:cs="宋体" w:asciiTheme="minorEastAsia" w:hAnsiTheme="minorEastAsia" w:eastAsiaTheme="minorEastAsia"/>
          <w:bCs/>
          <w:sz w:val="24"/>
          <w:szCs w:val="24"/>
          <w:highlight w:val="none"/>
        </w:rPr>
        <w:t>合同授予</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8.1 </w:t>
      </w:r>
      <w:r>
        <w:rPr>
          <w:rFonts w:hint="eastAsia" w:cs="宋体" w:asciiTheme="minorEastAsia" w:hAnsiTheme="minorEastAsia" w:eastAsiaTheme="minorEastAsia"/>
          <w:b/>
          <w:sz w:val="24"/>
          <w:szCs w:val="24"/>
          <w:highlight w:val="none"/>
        </w:rPr>
        <w:t>定标方式</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8.1.1评标委员会完成评标后，向招标人提交书面评标报告和评</w:t>
      </w:r>
      <w:r>
        <w:rPr>
          <w:rFonts w:hint="eastAsia" w:cs="宋体" w:asciiTheme="minorEastAsia" w:hAnsiTheme="minorEastAsia" w:eastAsiaTheme="minorEastAsia"/>
          <w:kern w:val="10"/>
          <w:sz w:val="24"/>
          <w:szCs w:val="24"/>
          <w:highlight w:val="none"/>
        </w:rPr>
        <w:t>标结果。</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8.1.2中标单位确定后，招标人将在</w:t>
      </w:r>
      <w:r>
        <w:rPr>
          <w:rFonts w:hint="eastAsia" w:cs="宋体" w:asciiTheme="minorEastAsia" w:hAnsiTheme="minorEastAsia" w:eastAsiaTheme="minorEastAsia"/>
          <w:kern w:val="0"/>
          <w:sz w:val="24"/>
          <w:szCs w:val="24"/>
          <w:highlight w:val="none"/>
        </w:rPr>
        <w:t>六安市公共资源交易平台电子服务系统</w:t>
      </w:r>
      <w:r>
        <w:rPr>
          <w:rFonts w:hint="eastAsia" w:cs="宋体" w:asciiTheme="minorEastAsia" w:hAnsiTheme="minorEastAsia" w:eastAsiaTheme="minorEastAsia"/>
          <w:kern w:val="10"/>
          <w:sz w:val="24"/>
          <w:szCs w:val="24"/>
          <w:highlight w:val="none"/>
        </w:rPr>
        <w:t>发布中标公示，公示时间为三个工作日。投诉期满无异议</w:t>
      </w:r>
      <w:r>
        <w:rPr>
          <w:rFonts w:cs="宋体" w:asciiTheme="minorEastAsia" w:hAnsiTheme="minorEastAsia" w:eastAsiaTheme="minorEastAsia"/>
          <w:kern w:val="10"/>
          <w:sz w:val="24"/>
          <w:szCs w:val="24"/>
          <w:highlight w:val="none"/>
        </w:rPr>
        <w:t>,</w:t>
      </w:r>
      <w:r>
        <w:rPr>
          <w:rFonts w:hint="eastAsia" w:cs="宋体" w:asciiTheme="minorEastAsia" w:hAnsiTheme="minorEastAsia" w:eastAsiaTheme="minorEastAsia"/>
          <w:kern w:val="10"/>
          <w:sz w:val="24"/>
          <w:szCs w:val="24"/>
          <w:highlight w:val="none"/>
        </w:rPr>
        <w:t>招标人按招标文件规定的程序向中标单位发放中标通知书。</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8.2 </w:t>
      </w:r>
      <w:r>
        <w:rPr>
          <w:rFonts w:hint="eastAsia" w:cs="宋体" w:asciiTheme="minorEastAsia" w:hAnsiTheme="minorEastAsia" w:eastAsiaTheme="minorEastAsia"/>
          <w:b/>
          <w:sz w:val="24"/>
          <w:szCs w:val="24"/>
          <w:highlight w:val="none"/>
        </w:rPr>
        <w:t>履约担保</w:t>
      </w:r>
    </w:p>
    <w:p>
      <w:pPr>
        <w:adjustRightInd w:val="0"/>
        <w:snapToGrid w:val="0"/>
        <w:spacing w:line="500" w:lineRule="exact"/>
        <w:ind w:firstLine="480" w:firstLineChars="200"/>
        <w:rPr>
          <w:rFonts w:asciiTheme="minorEastAsia" w:hAnsiTheme="minorEastAsia" w:eastAsiaTheme="minorEastAsia"/>
          <w:bCs/>
          <w:sz w:val="24"/>
          <w:szCs w:val="24"/>
          <w:highlight w:val="none"/>
        </w:rPr>
      </w:pPr>
      <w:r>
        <w:rPr>
          <w:rFonts w:hint="eastAsia" w:cs="宋体" w:asciiTheme="minorEastAsia" w:hAnsiTheme="minorEastAsia" w:eastAsiaTheme="minorEastAsia"/>
          <w:kern w:val="10"/>
          <w:sz w:val="24"/>
          <w:szCs w:val="24"/>
          <w:highlight w:val="none"/>
        </w:rPr>
        <w:t>在与招标人签定合同前缴纳</w:t>
      </w:r>
      <w:r>
        <w:rPr>
          <w:rFonts w:hint="eastAsia" w:cs="宋体" w:asciiTheme="minorEastAsia" w:hAnsiTheme="minorEastAsia" w:eastAsiaTheme="minorEastAsia"/>
          <w:bCs/>
          <w:sz w:val="24"/>
          <w:szCs w:val="24"/>
          <w:highlight w:val="none"/>
          <w:lang w:val="zh-CN"/>
        </w:rPr>
        <w:t>（人民币叁万元整）</w:t>
      </w:r>
      <w:r>
        <w:rPr>
          <w:rFonts w:hint="eastAsia" w:asciiTheme="minorEastAsia" w:hAnsiTheme="minorEastAsia" w:eastAsiaTheme="minorEastAsia"/>
          <w:bCs/>
          <w:sz w:val="24"/>
          <w:szCs w:val="24"/>
          <w:highlight w:val="none"/>
        </w:rPr>
        <w:t>。</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8.3</w:t>
      </w:r>
      <w:r>
        <w:rPr>
          <w:rFonts w:hint="eastAsia" w:cs="宋体" w:asciiTheme="minorEastAsia" w:hAnsiTheme="minorEastAsia" w:eastAsiaTheme="minorEastAsia"/>
          <w:b/>
          <w:sz w:val="24"/>
          <w:szCs w:val="24"/>
          <w:highlight w:val="none"/>
        </w:rPr>
        <w:t>签订合同</w:t>
      </w:r>
    </w:p>
    <w:p>
      <w:pPr>
        <w:adjustRightInd w:val="0"/>
        <w:snapToGrid w:val="0"/>
        <w:spacing w:line="500" w:lineRule="exact"/>
        <w:ind w:firstLine="482" w:firstLineChars="200"/>
        <w:rPr>
          <w:rFonts w:asciiTheme="minorEastAsia" w:hAnsiTheme="minorEastAsia" w:eastAsiaTheme="minorEastAsia"/>
          <w:kern w:val="10"/>
          <w:sz w:val="24"/>
          <w:szCs w:val="24"/>
          <w:highlight w:val="none"/>
        </w:rPr>
      </w:pPr>
      <w:r>
        <w:rPr>
          <w:rFonts w:cs="宋体" w:asciiTheme="minorEastAsia" w:hAnsiTheme="minorEastAsia" w:eastAsiaTheme="minorEastAsia"/>
          <w:b/>
          <w:sz w:val="24"/>
          <w:szCs w:val="24"/>
          <w:highlight w:val="none"/>
        </w:rPr>
        <w:t>8.3.1</w:t>
      </w:r>
      <w:r>
        <w:rPr>
          <w:rFonts w:hint="eastAsia" w:asciiTheme="minorEastAsia" w:hAnsiTheme="minorEastAsia" w:eastAsiaTheme="minorEastAsia"/>
          <w:kern w:val="10"/>
          <w:sz w:val="24"/>
          <w:szCs w:val="24"/>
          <w:highlight w:val="none"/>
        </w:rPr>
        <w:t>招标人和中标单位应当自中标通知书发出之日起</w:t>
      </w:r>
      <w:r>
        <w:rPr>
          <w:rFonts w:asciiTheme="minorEastAsia" w:hAnsiTheme="minorEastAsia" w:eastAsiaTheme="minorEastAsia"/>
          <w:kern w:val="10"/>
          <w:sz w:val="24"/>
          <w:szCs w:val="24"/>
          <w:highlight w:val="none"/>
        </w:rPr>
        <w:t>30</w:t>
      </w:r>
      <w:r>
        <w:rPr>
          <w:rFonts w:hint="eastAsia" w:asciiTheme="minorEastAsia" w:hAnsiTheme="minorEastAsia" w:eastAsiaTheme="minorEastAsia"/>
          <w:kern w:val="10"/>
          <w:sz w:val="24"/>
          <w:szCs w:val="24"/>
          <w:highlight w:val="none"/>
        </w:rPr>
        <w:t>天内（具体见中标通知书）根据招标文件和中标人的投标文件订立书面合同。</w:t>
      </w:r>
      <w:r>
        <w:rPr>
          <w:rFonts w:hint="eastAsia" w:cs="宋体" w:asciiTheme="minorEastAsia" w:hAnsiTheme="minorEastAsia" w:eastAsiaTheme="minorEastAsia"/>
          <w:sz w:val="24"/>
          <w:szCs w:val="24"/>
          <w:highlight w:val="none"/>
        </w:rPr>
        <w:t>中标单位</w:t>
      </w:r>
      <w:r>
        <w:rPr>
          <w:rFonts w:hint="eastAsia" w:asciiTheme="minorEastAsia" w:hAnsiTheme="minorEastAsia" w:eastAsiaTheme="minorEastAsia"/>
          <w:kern w:val="10"/>
          <w:sz w:val="24"/>
          <w:szCs w:val="24"/>
          <w:highlight w:val="none"/>
        </w:rPr>
        <w:t>无正当理由拒签合同的，招标人取消其中标资格，投标保证金不予退还，给招标人造成损失的，应当赔偿损失。</w:t>
      </w:r>
    </w:p>
    <w:p>
      <w:pPr>
        <w:adjustRightInd w:val="0"/>
        <w:snapToGrid w:val="0"/>
        <w:spacing w:line="500" w:lineRule="exact"/>
        <w:ind w:firstLine="482" w:firstLineChars="200"/>
        <w:rPr>
          <w:rFonts w:asciiTheme="minorEastAsia" w:hAnsiTheme="minorEastAsia" w:eastAsiaTheme="minorEastAsia"/>
          <w:kern w:val="10"/>
          <w:sz w:val="24"/>
          <w:szCs w:val="24"/>
          <w:highlight w:val="none"/>
        </w:rPr>
      </w:pPr>
      <w:r>
        <w:rPr>
          <w:rFonts w:cs="宋体" w:asciiTheme="minorEastAsia" w:hAnsiTheme="minorEastAsia" w:eastAsiaTheme="minorEastAsia"/>
          <w:b/>
          <w:sz w:val="24"/>
          <w:szCs w:val="24"/>
          <w:highlight w:val="none"/>
        </w:rPr>
        <w:t xml:space="preserve">8.3.2 </w:t>
      </w:r>
      <w:r>
        <w:rPr>
          <w:rFonts w:hint="eastAsia" w:asciiTheme="minorEastAsia" w:hAnsiTheme="minorEastAsia" w:eastAsiaTheme="minorEastAsia"/>
          <w:kern w:val="10"/>
          <w:sz w:val="24"/>
          <w:szCs w:val="24"/>
          <w:highlight w:val="none"/>
        </w:rPr>
        <w:t>发出中标通知书后，招标人无正当理由拒签合同的，招标人向中标人退还投标保证金；给中标人造成损失的，应当赔偿损失。</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sz w:val="24"/>
          <w:szCs w:val="24"/>
          <w:highlight w:val="none"/>
        </w:rPr>
        <w:t>8.3.3</w:t>
      </w:r>
      <w:r>
        <w:rPr>
          <w:rFonts w:hint="eastAsia" w:cs="宋体" w:asciiTheme="minorEastAsia" w:hAnsiTheme="minorEastAsia" w:eastAsiaTheme="minorEastAsia"/>
          <w:kern w:val="10"/>
          <w:sz w:val="24"/>
          <w:szCs w:val="24"/>
          <w:highlight w:val="none"/>
        </w:rPr>
        <w:t>招标双方必须严格按照招标文件、投标文件及有关承诺签订合同，不得擅自变更。对任何因双方擅自变更合同引起的问题招标人概不负责，合同风险由双方自行承担。</w:t>
      </w:r>
    </w:p>
    <w:p>
      <w:pPr>
        <w:adjustRightInd w:val="0"/>
        <w:snapToGrid w:val="0"/>
        <w:spacing w:line="500" w:lineRule="exact"/>
        <w:ind w:firstLine="482"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b/>
          <w:sz w:val="24"/>
          <w:szCs w:val="24"/>
          <w:highlight w:val="none"/>
        </w:rPr>
        <w:t>8.3.4</w:t>
      </w:r>
      <w:r>
        <w:rPr>
          <w:rFonts w:hint="eastAsia" w:cs="宋体" w:asciiTheme="minorEastAsia" w:hAnsiTheme="minorEastAsia" w:eastAsiaTheme="minorEastAsia"/>
          <w:kern w:val="10"/>
          <w:sz w:val="24"/>
          <w:szCs w:val="24"/>
          <w:highlight w:val="none"/>
        </w:rPr>
        <w:t>招标人保留以书面形式要求合同的中标方对其所投标内容等作适当调整的权利。中标方必须在接到招标方的变更要求后及时根据本条款提出的调整内容做出同意与否的答复。</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cs="宋体" w:asciiTheme="minorEastAsia" w:hAnsiTheme="minorEastAsia" w:eastAsiaTheme="minorEastAsia"/>
          <w:b/>
          <w:bCs/>
          <w:sz w:val="24"/>
          <w:szCs w:val="24"/>
          <w:highlight w:val="none"/>
        </w:rPr>
        <w:t>9.</w:t>
      </w:r>
      <w:r>
        <w:rPr>
          <w:rFonts w:hint="eastAsia" w:cs="宋体" w:asciiTheme="minorEastAsia" w:hAnsiTheme="minorEastAsia" w:eastAsiaTheme="minorEastAsia"/>
          <w:b/>
          <w:bCs/>
          <w:sz w:val="24"/>
          <w:szCs w:val="24"/>
          <w:highlight w:val="none"/>
        </w:rPr>
        <w:t>无效标条款及处罚：</w:t>
      </w:r>
    </w:p>
    <w:p>
      <w:pPr>
        <w:adjustRightInd w:val="0"/>
        <w:snapToGrid w:val="0"/>
        <w:spacing w:line="500" w:lineRule="exact"/>
        <w:ind w:firstLine="470" w:firstLineChars="196"/>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投标人有下列情况之一者，作为无效标处理，已中标的取消其中标资格，其投标保证金不予退还并给予不良行为记录。</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9.1</w:t>
      </w:r>
      <w:r>
        <w:rPr>
          <w:rFonts w:hint="eastAsia" w:cs="宋体" w:asciiTheme="minorEastAsia" w:hAnsiTheme="minorEastAsia" w:eastAsiaTheme="minorEastAsia"/>
          <w:kern w:val="10"/>
          <w:sz w:val="24"/>
          <w:szCs w:val="24"/>
          <w:highlight w:val="none"/>
        </w:rPr>
        <w:t>投标人之间约定中标人的；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9.2</w:t>
      </w:r>
      <w:r>
        <w:rPr>
          <w:rFonts w:hint="eastAsia" w:cs="宋体" w:asciiTheme="minorEastAsia" w:hAnsiTheme="minorEastAsia" w:eastAsiaTheme="minorEastAsia"/>
          <w:kern w:val="10"/>
          <w:sz w:val="24"/>
          <w:szCs w:val="24"/>
          <w:highlight w:val="none"/>
        </w:rPr>
        <w:t>投标人之间约定部分投标人放弃投标或者中标的；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9.3</w:t>
      </w:r>
      <w:r>
        <w:rPr>
          <w:rFonts w:hint="eastAsia" w:cs="宋体" w:asciiTheme="minorEastAsia" w:hAnsiTheme="minorEastAsia" w:eastAsiaTheme="minorEastAsia"/>
          <w:kern w:val="10"/>
          <w:sz w:val="24"/>
          <w:szCs w:val="24"/>
          <w:highlight w:val="none"/>
        </w:rPr>
        <w:t>属于同一集团、协会、商会等组织成员的投标人按照该组织要求协同投标的；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9.4</w:t>
      </w:r>
      <w:r>
        <w:rPr>
          <w:rFonts w:hint="eastAsia" w:cs="宋体" w:asciiTheme="minorEastAsia" w:hAnsiTheme="minorEastAsia" w:eastAsiaTheme="minorEastAsia"/>
          <w:kern w:val="10"/>
          <w:sz w:val="24"/>
          <w:szCs w:val="24"/>
          <w:highlight w:val="none"/>
        </w:rPr>
        <w:t>投标人之间为谋取中标或者排斥特定投标人而采取的其他联合行动的；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9.5</w:t>
      </w:r>
      <w:r>
        <w:rPr>
          <w:rFonts w:hint="eastAsia" w:cs="宋体" w:asciiTheme="minorEastAsia" w:hAnsiTheme="minorEastAsia" w:eastAsiaTheme="minorEastAsia"/>
          <w:kern w:val="10"/>
          <w:sz w:val="24"/>
          <w:szCs w:val="24"/>
          <w:highlight w:val="none"/>
        </w:rPr>
        <w:t>不同投标人的投标文件由同一单位或者个人编制的；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9.6</w:t>
      </w:r>
      <w:r>
        <w:rPr>
          <w:rFonts w:hint="eastAsia" w:cs="宋体" w:asciiTheme="minorEastAsia" w:hAnsiTheme="minorEastAsia" w:eastAsiaTheme="minorEastAsia"/>
          <w:kern w:val="10"/>
          <w:sz w:val="24"/>
          <w:szCs w:val="24"/>
          <w:highlight w:val="none"/>
        </w:rPr>
        <w:t>不同投标人委托同一单位或者个人办理投标事宜的；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9.7</w:t>
      </w:r>
      <w:r>
        <w:rPr>
          <w:rFonts w:hint="eastAsia" w:cs="宋体" w:asciiTheme="minorEastAsia" w:hAnsiTheme="minorEastAsia" w:eastAsiaTheme="minorEastAsia"/>
          <w:kern w:val="10"/>
          <w:sz w:val="24"/>
          <w:szCs w:val="24"/>
          <w:highlight w:val="none"/>
        </w:rPr>
        <w:t>不同投标人的投标文件载明的项目管理成员为同一人的；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9.8</w:t>
      </w:r>
      <w:r>
        <w:rPr>
          <w:rFonts w:hint="eastAsia" w:cs="宋体" w:asciiTheme="minorEastAsia" w:hAnsiTheme="minorEastAsia" w:eastAsiaTheme="minorEastAsia"/>
          <w:kern w:val="10"/>
          <w:sz w:val="24"/>
          <w:szCs w:val="24"/>
          <w:highlight w:val="none"/>
        </w:rPr>
        <w:t>不同投标人的投标文件异常一致；</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9.9</w:t>
      </w:r>
      <w:r>
        <w:rPr>
          <w:rFonts w:hint="eastAsia" w:cs="宋体" w:asciiTheme="minorEastAsia" w:hAnsiTheme="minorEastAsia" w:eastAsiaTheme="minorEastAsia"/>
          <w:kern w:val="10"/>
          <w:sz w:val="24"/>
          <w:szCs w:val="24"/>
          <w:highlight w:val="none"/>
        </w:rPr>
        <w:t>不同投标人的投标文件相互混装的；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9.10</w:t>
      </w:r>
      <w:r>
        <w:rPr>
          <w:rFonts w:hint="eastAsia" w:cs="宋体" w:asciiTheme="minorEastAsia" w:hAnsiTheme="minorEastAsia" w:eastAsiaTheme="minorEastAsia"/>
          <w:kern w:val="10"/>
          <w:sz w:val="24"/>
          <w:szCs w:val="24"/>
          <w:highlight w:val="none"/>
        </w:rPr>
        <w:t>不同投标人的投标保证金从同一单位或者个人的账户转出的；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9.11</w:t>
      </w:r>
      <w:r>
        <w:rPr>
          <w:rFonts w:hint="eastAsia" w:cs="宋体" w:asciiTheme="minorEastAsia" w:hAnsiTheme="minorEastAsia" w:eastAsiaTheme="minorEastAsia"/>
          <w:kern w:val="10"/>
          <w:sz w:val="24"/>
          <w:szCs w:val="24"/>
          <w:highlight w:val="none"/>
        </w:rPr>
        <w:t>被责令停业的；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9.12</w:t>
      </w:r>
      <w:r>
        <w:rPr>
          <w:rFonts w:hint="eastAsia" w:cs="宋体" w:asciiTheme="minorEastAsia" w:hAnsiTheme="minorEastAsia" w:eastAsiaTheme="minorEastAsia"/>
          <w:kern w:val="10"/>
          <w:sz w:val="24"/>
          <w:szCs w:val="24"/>
          <w:highlight w:val="none"/>
        </w:rPr>
        <w:t>财产被接管或冻结的；</w:t>
      </w:r>
      <w:r>
        <w:rPr>
          <w:rFonts w:cs="宋体" w:asciiTheme="minorEastAsia" w:hAnsiTheme="minorEastAsia" w:eastAsiaTheme="minorEastAsia"/>
          <w:kern w:val="10"/>
          <w:sz w:val="24"/>
          <w:szCs w:val="24"/>
          <w:highlight w:val="none"/>
        </w:rPr>
        <w:t xml:space="preserve">  </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9.13</w:t>
      </w:r>
      <w:r>
        <w:rPr>
          <w:rFonts w:hint="eastAsia" w:cs="宋体" w:asciiTheme="minorEastAsia" w:hAnsiTheme="minorEastAsia" w:eastAsiaTheme="minorEastAsia"/>
          <w:kern w:val="10"/>
          <w:sz w:val="24"/>
          <w:szCs w:val="24"/>
          <w:highlight w:val="none"/>
        </w:rPr>
        <w:t>被取消投标资格的；</w:t>
      </w:r>
      <w:r>
        <w:rPr>
          <w:rFonts w:cs="宋体" w:asciiTheme="minorEastAsia" w:hAnsiTheme="minorEastAsia" w:eastAsiaTheme="minorEastAsia"/>
          <w:kern w:val="10"/>
          <w:sz w:val="24"/>
          <w:szCs w:val="24"/>
          <w:highlight w:val="none"/>
        </w:rPr>
        <w:t xml:space="preserve"> </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9.14投标人在本次投标中有弄虚作假行为，包括使用伪造、变造的资质证书、许可证件等，提供虚假的财务状况或者业绩等，提供虚假的项目负责人或者主要技术人员简历等，提供虚假的信用状况、获奖资料等；</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9.15</w:t>
      </w:r>
      <w:r>
        <w:rPr>
          <w:rFonts w:hint="eastAsia" w:cs="宋体" w:asciiTheme="minorEastAsia" w:hAnsiTheme="minorEastAsia" w:eastAsiaTheme="minorEastAsia"/>
          <w:kern w:val="10"/>
          <w:sz w:val="24"/>
          <w:szCs w:val="24"/>
          <w:highlight w:val="none"/>
        </w:rPr>
        <w:t>投标人采取出借、出租资质、证照等方式给他人投标，或者挂靠其他单位投标的；</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cs="宋体" w:asciiTheme="minorEastAsia" w:hAnsiTheme="minorEastAsia" w:eastAsiaTheme="minorEastAsia"/>
          <w:kern w:val="10"/>
          <w:sz w:val="24"/>
          <w:szCs w:val="24"/>
          <w:highlight w:val="none"/>
        </w:rPr>
        <w:t>9.16投标人允许其他单位和个人以自己名义投标被查证属实且在投标限制期的。</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cs="宋体" w:asciiTheme="minorEastAsia" w:hAnsiTheme="minorEastAsia" w:eastAsiaTheme="minorEastAsia"/>
          <w:b/>
          <w:bCs/>
          <w:sz w:val="24"/>
          <w:szCs w:val="24"/>
          <w:highlight w:val="none"/>
        </w:rPr>
        <w:t>10.</w:t>
      </w:r>
      <w:r>
        <w:rPr>
          <w:rFonts w:hint="eastAsia" w:cs="宋体" w:asciiTheme="minorEastAsia" w:hAnsiTheme="minorEastAsia" w:eastAsiaTheme="minorEastAsia"/>
          <w:b/>
          <w:bCs/>
          <w:sz w:val="24"/>
          <w:szCs w:val="24"/>
          <w:highlight w:val="none"/>
        </w:rPr>
        <w:t>纪律和监督</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10.1 </w:t>
      </w:r>
      <w:r>
        <w:rPr>
          <w:rFonts w:hint="eastAsia" w:cs="宋体" w:asciiTheme="minorEastAsia" w:hAnsiTheme="minorEastAsia" w:eastAsiaTheme="minorEastAsia"/>
          <w:b/>
          <w:sz w:val="24"/>
          <w:szCs w:val="24"/>
          <w:highlight w:val="none"/>
        </w:rPr>
        <w:t>对招标人的纪律要求</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招标人不得泄漏招标投标活动中应当保密的情况和资料，不得与投标人串通损害国家利益，社会公共利益或者他人合法权益。</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10.2 </w:t>
      </w:r>
      <w:r>
        <w:rPr>
          <w:rFonts w:hint="eastAsia" w:cs="宋体" w:asciiTheme="minorEastAsia" w:hAnsiTheme="minorEastAsia" w:eastAsiaTheme="minorEastAsia"/>
          <w:b/>
          <w:sz w:val="24"/>
          <w:szCs w:val="24"/>
          <w:highlight w:val="none"/>
        </w:rPr>
        <w:t>对投标人的纪律要求</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10.3 </w:t>
      </w:r>
      <w:r>
        <w:rPr>
          <w:rFonts w:hint="eastAsia" w:cs="宋体" w:asciiTheme="minorEastAsia" w:hAnsiTheme="minorEastAsia" w:eastAsiaTheme="minorEastAsia"/>
          <w:b/>
          <w:sz w:val="24"/>
          <w:szCs w:val="24"/>
          <w:highlight w:val="none"/>
        </w:rPr>
        <w:t>对评标委员会成员的纪律要求</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审办法”没有规定的评审因素和标准进行评标。</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 xml:space="preserve">10.4 </w:t>
      </w:r>
      <w:r>
        <w:rPr>
          <w:rFonts w:hint="eastAsia" w:cs="宋体" w:asciiTheme="minorEastAsia" w:hAnsiTheme="minorEastAsia" w:eastAsiaTheme="minorEastAsia"/>
          <w:b/>
          <w:sz w:val="24"/>
          <w:szCs w:val="24"/>
          <w:highlight w:val="none"/>
        </w:rPr>
        <w:t>对与评标活动有关的工作人员的纪律要求</w:t>
      </w:r>
    </w:p>
    <w:p>
      <w:pPr>
        <w:adjustRightInd w:val="0"/>
        <w:snapToGrid w:val="0"/>
        <w:spacing w:line="500" w:lineRule="exact"/>
        <w:ind w:firstLine="480" w:firstLineChars="200"/>
        <w:rPr>
          <w:rFonts w:cs="宋体" w:asciiTheme="minorEastAsia" w:hAnsiTheme="minorEastAsia" w:eastAsiaTheme="minorEastAsia"/>
          <w:kern w:val="10"/>
          <w:sz w:val="24"/>
          <w:szCs w:val="24"/>
          <w:highlight w:val="none"/>
        </w:rPr>
      </w:pPr>
      <w:r>
        <w:rPr>
          <w:rFonts w:hint="eastAsia" w:cs="宋体" w:asciiTheme="minorEastAsia" w:hAnsiTheme="minorEastAsia" w:eastAsiaTheme="minorEastAsia"/>
          <w:kern w:val="10"/>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djustRightInd w:val="0"/>
        <w:snapToGrid w:val="0"/>
        <w:spacing w:line="500" w:lineRule="exact"/>
        <w:ind w:firstLine="472"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b/>
          <w:sz w:val="24"/>
          <w:szCs w:val="24"/>
          <w:highlight w:val="none"/>
        </w:rPr>
        <w:t>10.5</w:t>
      </w:r>
      <w:r>
        <w:rPr>
          <w:rFonts w:hint="eastAsia" w:cs="宋体" w:asciiTheme="minorEastAsia" w:hAnsiTheme="minorEastAsia" w:eastAsiaTheme="minorEastAsia"/>
          <w:sz w:val="24"/>
          <w:szCs w:val="24"/>
          <w:highlight w:val="none"/>
        </w:rPr>
        <w:t>参加本次招标活动的所有人员不得将对投标文件的审查、澄清、评议以及评标的情况透露给投标人或与招标工作无关的人员。如有发现，造成不良影响的，按有关法律法规的规定追究当事人责任。</w:t>
      </w:r>
    </w:p>
    <w:p>
      <w:pPr>
        <w:adjustRightInd w:val="0"/>
        <w:snapToGrid w:val="0"/>
        <w:spacing w:line="500" w:lineRule="exact"/>
        <w:ind w:firstLine="470" w:firstLineChars="196"/>
        <w:rPr>
          <w:rFonts w:cs="宋体" w:asciiTheme="minorEastAsia" w:hAnsiTheme="minorEastAsia" w:eastAsiaTheme="minorEastAsia"/>
          <w:bCs/>
          <w:sz w:val="24"/>
          <w:szCs w:val="24"/>
          <w:highlight w:val="none"/>
        </w:rPr>
      </w:pPr>
      <w:r>
        <w:rPr>
          <w:rFonts w:cs="宋体" w:asciiTheme="minorEastAsia" w:hAnsiTheme="minorEastAsia" w:eastAsiaTheme="minorEastAsia"/>
          <w:bCs/>
          <w:sz w:val="24"/>
          <w:szCs w:val="24"/>
          <w:highlight w:val="none"/>
        </w:rPr>
        <w:t>11.</w:t>
      </w:r>
      <w:r>
        <w:rPr>
          <w:rFonts w:hint="eastAsia" w:cs="宋体" w:asciiTheme="minorEastAsia" w:hAnsiTheme="minorEastAsia" w:eastAsiaTheme="minorEastAsia"/>
          <w:bCs/>
          <w:sz w:val="24"/>
          <w:szCs w:val="24"/>
          <w:highlight w:val="none"/>
        </w:rPr>
        <w:t>本招标文件未尽事宜，参照有关法律、法规、规章、办法等执行。</w:t>
      </w:r>
    </w:p>
    <w:p>
      <w:pPr>
        <w:adjustRightInd w:val="0"/>
        <w:snapToGrid w:val="0"/>
        <w:spacing w:line="500" w:lineRule="exact"/>
        <w:ind w:firstLine="472" w:firstLineChars="196"/>
        <w:rPr>
          <w:rFonts w:cs="宋体" w:asciiTheme="minorEastAsia" w:hAnsiTheme="minorEastAsia" w:eastAsiaTheme="minorEastAsia"/>
          <w:b/>
          <w:sz w:val="24"/>
          <w:szCs w:val="24"/>
          <w:highlight w:val="none"/>
        </w:rPr>
      </w:pPr>
      <w:r>
        <w:rPr>
          <w:rFonts w:cs="宋体" w:asciiTheme="minorEastAsia" w:hAnsiTheme="minorEastAsia" w:eastAsiaTheme="minorEastAsia"/>
          <w:b/>
          <w:sz w:val="24"/>
          <w:szCs w:val="24"/>
          <w:highlight w:val="none"/>
        </w:rPr>
        <w:t>12.</w:t>
      </w:r>
      <w:r>
        <w:rPr>
          <w:rFonts w:hint="eastAsia" w:cs="宋体" w:asciiTheme="minorEastAsia" w:hAnsiTheme="minorEastAsia" w:eastAsiaTheme="minorEastAsia"/>
          <w:b/>
          <w:sz w:val="24"/>
          <w:szCs w:val="24"/>
          <w:highlight w:val="none"/>
        </w:rPr>
        <w:t>本招标文件的最终解释权在招标人。</w:t>
      </w:r>
    </w:p>
    <w:p>
      <w:pPr>
        <w:adjustRightInd w:val="0"/>
        <w:snapToGrid w:val="0"/>
        <w:spacing w:line="500" w:lineRule="exact"/>
        <w:ind w:firstLine="551" w:firstLineChars="196"/>
        <w:rPr>
          <w:rFonts w:ascii="宋体" w:cs="宋体"/>
          <w:b/>
          <w:sz w:val="28"/>
          <w:szCs w:val="28"/>
          <w:highlight w:val="none"/>
        </w:rPr>
      </w:pPr>
    </w:p>
    <w:p>
      <w:pPr>
        <w:adjustRightInd w:val="0"/>
        <w:snapToGrid w:val="0"/>
        <w:spacing w:line="500" w:lineRule="exact"/>
        <w:ind w:firstLine="551" w:firstLineChars="196"/>
        <w:rPr>
          <w:rFonts w:ascii="宋体" w:cs="宋体"/>
          <w:b/>
          <w:sz w:val="28"/>
          <w:szCs w:val="28"/>
          <w:highlight w:val="none"/>
        </w:rPr>
      </w:pPr>
    </w:p>
    <w:p>
      <w:pPr>
        <w:pStyle w:val="24"/>
        <w:ind w:firstLine="281"/>
        <w:rPr>
          <w:rFonts w:ascii="宋体" w:cs="宋体"/>
          <w:b/>
          <w:sz w:val="28"/>
          <w:szCs w:val="28"/>
          <w:highlight w:val="none"/>
        </w:rPr>
      </w:pPr>
    </w:p>
    <w:p>
      <w:pPr>
        <w:pStyle w:val="24"/>
        <w:ind w:firstLine="281"/>
        <w:rPr>
          <w:rFonts w:ascii="宋体" w:cs="宋体"/>
          <w:b/>
          <w:sz w:val="28"/>
          <w:szCs w:val="28"/>
          <w:highlight w:val="none"/>
        </w:rPr>
      </w:pPr>
    </w:p>
    <w:p>
      <w:pPr>
        <w:widowControl/>
        <w:jc w:val="center"/>
        <w:rPr>
          <w:rFonts w:ascii="宋体" w:hAnsi="宋体"/>
          <w:b/>
          <w:sz w:val="36"/>
          <w:szCs w:val="36"/>
          <w:highlight w:val="none"/>
          <w:shd w:val="clear" w:color="auto" w:fill="FFFFFF"/>
        </w:rPr>
      </w:pPr>
      <w:bookmarkStart w:id="6" w:name="_Toc386101318"/>
    </w:p>
    <w:p>
      <w:pPr>
        <w:pStyle w:val="24"/>
        <w:ind w:firstLine="200"/>
        <w:rPr>
          <w:highlight w:val="none"/>
        </w:rPr>
      </w:pPr>
    </w:p>
    <w:p>
      <w:pPr>
        <w:widowControl/>
        <w:jc w:val="center"/>
        <w:rPr>
          <w:rFonts w:ascii="宋体" w:hAnsi="宋体"/>
          <w:b/>
          <w:sz w:val="36"/>
          <w:szCs w:val="36"/>
          <w:highlight w:val="none"/>
          <w:shd w:val="clear" w:color="auto" w:fill="FFFFFF"/>
        </w:rPr>
      </w:pPr>
    </w:p>
    <w:p>
      <w:pPr>
        <w:pStyle w:val="24"/>
        <w:ind w:firstLine="200"/>
        <w:rPr>
          <w:highlight w:val="none"/>
        </w:rPr>
      </w:pPr>
    </w:p>
    <w:p>
      <w:pPr>
        <w:pStyle w:val="24"/>
        <w:ind w:firstLine="200"/>
        <w:rPr>
          <w:highlight w:val="none"/>
        </w:rPr>
      </w:pPr>
    </w:p>
    <w:p>
      <w:pPr>
        <w:rPr>
          <w:rFonts w:ascii="宋体" w:hAnsi="宋体"/>
          <w:sz w:val="34"/>
          <w:szCs w:val="36"/>
          <w:highlight w:val="none"/>
          <w:shd w:val="clear" w:color="auto" w:fill="FFFFFF"/>
        </w:rPr>
      </w:pPr>
      <w:bookmarkStart w:id="7" w:name="_Toc83242155"/>
      <w:r>
        <w:rPr>
          <w:rFonts w:hint="eastAsia" w:ascii="宋体" w:hAnsi="宋体"/>
          <w:sz w:val="34"/>
          <w:szCs w:val="36"/>
          <w:highlight w:val="none"/>
          <w:shd w:val="clear" w:color="auto" w:fill="FFFFFF"/>
        </w:rPr>
        <w:br w:type="page"/>
      </w:r>
    </w:p>
    <w:p>
      <w:pPr>
        <w:pStyle w:val="7"/>
        <w:tabs>
          <w:tab w:val="left" w:pos="1125"/>
        </w:tabs>
        <w:spacing w:line="520" w:lineRule="exact"/>
        <w:ind w:firstLine="0"/>
        <w:rPr>
          <w:rFonts w:ascii="宋体" w:hAnsi="宋体" w:eastAsia="宋体"/>
          <w:b w:val="0"/>
          <w:sz w:val="34"/>
          <w:szCs w:val="36"/>
          <w:highlight w:val="none"/>
          <w:shd w:val="clear" w:color="auto" w:fill="FFFFFF"/>
        </w:rPr>
      </w:pPr>
      <w:r>
        <w:rPr>
          <w:rFonts w:hint="eastAsia" w:ascii="宋体" w:hAnsi="宋体" w:eastAsia="宋体"/>
          <w:b w:val="0"/>
          <w:sz w:val="34"/>
          <w:szCs w:val="36"/>
          <w:highlight w:val="none"/>
          <w:shd w:val="clear" w:color="auto" w:fill="FFFFFF"/>
        </w:rPr>
        <w:t>第三章</w:t>
      </w:r>
      <w:r>
        <w:rPr>
          <w:rFonts w:ascii="宋体" w:hAnsi="宋体" w:eastAsia="宋体"/>
          <w:b w:val="0"/>
          <w:sz w:val="34"/>
          <w:szCs w:val="36"/>
          <w:highlight w:val="none"/>
          <w:shd w:val="clear" w:color="auto" w:fill="FFFFFF"/>
        </w:rPr>
        <w:t xml:space="preserve">  </w:t>
      </w:r>
      <w:r>
        <w:rPr>
          <w:rFonts w:hint="eastAsia" w:ascii="宋体" w:hAnsi="宋体" w:eastAsia="宋体"/>
          <w:b w:val="0"/>
          <w:sz w:val="34"/>
          <w:szCs w:val="36"/>
          <w:highlight w:val="none"/>
          <w:shd w:val="clear" w:color="auto" w:fill="FFFFFF"/>
        </w:rPr>
        <w:t>评审办法</w:t>
      </w:r>
      <w:bookmarkEnd w:id="7"/>
    </w:p>
    <w:p>
      <w:pPr>
        <w:widowControl/>
        <w:adjustRightInd w:val="0"/>
        <w:snapToGrid w:val="0"/>
        <w:spacing w:line="500" w:lineRule="exact"/>
        <w:jc w:val="center"/>
        <w:rPr>
          <w:rFonts w:asciiTheme="minorEastAsia" w:hAnsiTheme="minorEastAsia" w:eastAsiaTheme="minorEastAsia"/>
          <w:sz w:val="24"/>
          <w:szCs w:val="24"/>
          <w:highlight w:val="none"/>
        </w:rPr>
      </w:pPr>
      <w:r>
        <w:rPr>
          <w:rFonts w:hint="eastAsia" w:cs="宋体" w:asciiTheme="minorEastAsia" w:hAnsiTheme="minorEastAsia" w:eastAsiaTheme="minorEastAsia"/>
          <w:b/>
          <w:bCs/>
          <w:kern w:val="0"/>
          <w:sz w:val="24"/>
          <w:szCs w:val="24"/>
          <w:highlight w:val="none"/>
        </w:rPr>
        <w:t>评审办法前附表一</w:t>
      </w:r>
      <w:r>
        <w:rPr>
          <w:rFonts w:hint="eastAsia" w:asciiTheme="minorEastAsia" w:hAnsiTheme="minorEastAsia" w:eastAsiaTheme="minorEastAsia"/>
          <w:b/>
          <w:bCs/>
          <w:kern w:val="0"/>
          <w:sz w:val="24"/>
          <w:szCs w:val="24"/>
          <w:highlight w:val="none"/>
        </w:rPr>
        <w:t>（初步评审指标表）</w:t>
      </w:r>
    </w:p>
    <w:tbl>
      <w:tblPr>
        <w:tblStyle w:val="25"/>
        <w:tblW w:w="9039" w:type="dxa"/>
        <w:tblInd w:w="0" w:type="dxa"/>
        <w:tblLayout w:type="fixed"/>
        <w:tblCellMar>
          <w:top w:w="0" w:type="dxa"/>
          <w:left w:w="108" w:type="dxa"/>
          <w:bottom w:w="0" w:type="dxa"/>
          <w:right w:w="108" w:type="dxa"/>
        </w:tblCellMar>
      </w:tblPr>
      <w:tblGrid>
        <w:gridCol w:w="650"/>
        <w:gridCol w:w="2091"/>
        <w:gridCol w:w="6298"/>
      </w:tblGrid>
      <w:tr>
        <w:tblPrEx>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tcPr>
          <w:p>
            <w:pPr>
              <w:widowControl/>
              <w:autoSpaceDN w:val="0"/>
              <w:adjustRightInd w:val="0"/>
              <w:snapToGrid w:val="0"/>
              <w:spacing w:line="340" w:lineRule="exact"/>
              <w:jc w:val="center"/>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序号</w:t>
            </w:r>
          </w:p>
        </w:tc>
        <w:tc>
          <w:tcPr>
            <w:tcW w:w="2091" w:type="dxa"/>
            <w:tcBorders>
              <w:top w:val="single" w:color="000000" w:sz="4" w:space="0"/>
              <w:left w:val="nil"/>
              <w:bottom w:val="single" w:color="000000" w:sz="4" w:space="0"/>
              <w:right w:val="single" w:color="000000" w:sz="4" w:space="0"/>
            </w:tcBorders>
          </w:tcPr>
          <w:p>
            <w:pPr>
              <w:widowControl/>
              <w:autoSpaceDN w:val="0"/>
              <w:adjustRightInd w:val="0"/>
              <w:snapToGrid w:val="0"/>
              <w:spacing w:line="340" w:lineRule="exact"/>
              <w:jc w:val="center"/>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评审因素</w:t>
            </w:r>
          </w:p>
        </w:tc>
        <w:tc>
          <w:tcPr>
            <w:tcW w:w="6298" w:type="dxa"/>
            <w:tcBorders>
              <w:top w:val="single" w:color="000000" w:sz="4" w:space="0"/>
              <w:left w:val="nil"/>
              <w:bottom w:val="single" w:color="000000" w:sz="4" w:space="0"/>
              <w:right w:val="single" w:color="000000" w:sz="4" w:space="0"/>
            </w:tcBorders>
          </w:tcPr>
          <w:p>
            <w:pPr>
              <w:widowControl/>
              <w:autoSpaceDN w:val="0"/>
              <w:adjustRightInd w:val="0"/>
              <w:snapToGrid w:val="0"/>
              <w:spacing w:line="340" w:lineRule="exact"/>
              <w:jc w:val="center"/>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初步评审标准</w:t>
            </w:r>
          </w:p>
        </w:tc>
      </w:tr>
      <w:tr>
        <w:tblPrEx>
          <w:tblCellMar>
            <w:top w:w="0" w:type="dxa"/>
            <w:left w:w="108" w:type="dxa"/>
            <w:bottom w:w="0" w:type="dxa"/>
            <w:right w:w="108" w:type="dxa"/>
          </w:tblCellMar>
        </w:tblPrEx>
        <w:trPr>
          <w:trHeight w:val="528" w:hRule="atLeast"/>
        </w:trPr>
        <w:tc>
          <w:tcPr>
            <w:tcW w:w="9039"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40" w:lineRule="exact"/>
              <w:jc w:val="center"/>
              <w:rPr>
                <w:rFonts w:hint="eastAsia" w:asciiTheme="minorEastAsia" w:hAnsiTheme="minorEastAsia" w:eastAsiaTheme="minorEastAsia"/>
                <w:kern w:val="0"/>
                <w:sz w:val="24"/>
                <w:szCs w:val="24"/>
                <w:highlight w:val="none"/>
              </w:rPr>
            </w:pPr>
            <w:r>
              <w:rPr>
                <w:rFonts w:hint="eastAsia" w:ascii="宋体" w:hAnsi="宋体" w:cs="宋体"/>
                <w:sz w:val="24"/>
                <w:highlight w:val="none"/>
              </w:rPr>
              <w:t>形式评审</w:t>
            </w:r>
            <w:r>
              <w:rPr>
                <w:rFonts w:hint="eastAsia" w:ascii="宋体" w:hAnsi="宋体" w:cs="宋体"/>
                <w:sz w:val="24"/>
                <w:highlight w:val="none"/>
                <w:lang w:val="en-US" w:eastAsia="zh-CN"/>
              </w:rPr>
              <w:t>标准</w:t>
            </w:r>
          </w:p>
        </w:tc>
      </w:tr>
      <w:tr>
        <w:tblPrEx>
          <w:tblCellMar>
            <w:top w:w="0" w:type="dxa"/>
            <w:left w:w="108" w:type="dxa"/>
            <w:bottom w:w="0" w:type="dxa"/>
            <w:right w:w="108" w:type="dxa"/>
          </w:tblCellMar>
        </w:tblPrEx>
        <w:trPr>
          <w:trHeight w:val="789"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asciiTheme="minorEastAsia" w:hAnsiTheme="minorEastAsia" w:eastAsiaTheme="minorEastAsia"/>
                <w:kern w:val="0"/>
                <w:sz w:val="24"/>
                <w:szCs w:val="24"/>
                <w:highlight w:val="none"/>
              </w:rPr>
            </w:pPr>
            <w:r>
              <w:rPr>
                <w:rFonts w:asciiTheme="minorEastAsia" w:hAnsiTheme="minorEastAsia" w:eastAsiaTheme="minorEastAsia"/>
                <w:kern w:val="0"/>
                <w:sz w:val="24"/>
                <w:szCs w:val="24"/>
                <w:highlight w:val="none"/>
              </w:rPr>
              <w:t>1</w:t>
            </w:r>
          </w:p>
        </w:tc>
        <w:tc>
          <w:tcPr>
            <w:tcW w:w="2091" w:type="dxa"/>
            <w:tcBorders>
              <w:top w:val="single" w:color="000000" w:sz="4" w:space="0"/>
              <w:left w:val="nil"/>
              <w:bottom w:val="single" w:color="000000" w:sz="4" w:space="0"/>
              <w:right w:val="single" w:color="000000" w:sz="4" w:space="0"/>
            </w:tcBorders>
            <w:vAlign w:val="center"/>
          </w:tcPr>
          <w:p>
            <w:pPr>
              <w:widowControl/>
              <w:autoSpaceDN w:val="0"/>
              <w:adjustRightInd w:val="0"/>
              <w:snapToGrid w:val="0"/>
              <w:spacing w:line="340" w:lineRule="exact"/>
              <w:jc w:val="lef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投标单位名称的一致性要求</w:t>
            </w:r>
          </w:p>
        </w:tc>
        <w:tc>
          <w:tcPr>
            <w:tcW w:w="6298" w:type="dxa"/>
            <w:tcBorders>
              <w:top w:val="single" w:color="000000" w:sz="4" w:space="0"/>
              <w:left w:val="nil"/>
              <w:bottom w:val="single" w:color="000000" w:sz="4" w:space="0"/>
              <w:right w:val="single" w:color="000000" w:sz="4" w:space="0"/>
            </w:tcBorders>
            <w:vAlign w:val="center"/>
          </w:tcPr>
          <w:p>
            <w:pPr>
              <w:widowControl/>
              <w:autoSpaceDN w:val="0"/>
              <w:adjustRightInd w:val="0"/>
              <w:snapToGrid w:val="0"/>
              <w:spacing w:line="340" w:lineRule="exact"/>
              <w:jc w:val="both"/>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投标单位名称与</w:t>
            </w:r>
            <w:r>
              <w:rPr>
                <w:rFonts w:hint="eastAsia" w:asciiTheme="minorEastAsia" w:hAnsiTheme="minorEastAsia" w:eastAsiaTheme="minorEastAsia"/>
                <w:kern w:val="0"/>
                <w:sz w:val="24"/>
                <w:szCs w:val="24"/>
                <w:highlight w:val="none"/>
                <w:lang w:val="en-US" w:eastAsia="zh-CN"/>
              </w:rPr>
              <w:t>投标</w:t>
            </w:r>
            <w:r>
              <w:rPr>
                <w:rFonts w:hint="eastAsia" w:asciiTheme="minorEastAsia" w:hAnsiTheme="minorEastAsia" w:eastAsiaTheme="minorEastAsia"/>
                <w:kern w:val="0"/>
                <w:sz w:val="24"/>
                <w:szCs w:val="24"/>
                <w:highlight w:val="none"/>
              </w:rPr>
              <w:t>文件中提供的单位营业执照</w:t>
            </w:r>
            <w:r>
              <w:rPr>
                <w:rFonts w:hint="eastAsia" w:asciiTheme="minorEastAsia" w:hAnsiTheme="minorEastAsia" w:eastAsiaTheme="minorEastAsia"/>
                <w:kern w:val="0"/>
                <w:sz w:val="24"/>
                <w:szCs w:val="24"/>
                <w:highlight w:val="none"/>
                <w:lang w:val="en-US" w:eastAsia="zh-CN"/>
              </w:rPr>
              <w:t>中的单位名称</w:t>
            </w:r>
            <w:r>
              <w:rPr>
                <w:rFonts w:hint="eastAsia" w:asciiTheme="minorEastAsia" w:hAnsiTheme="minorEastAsia" w:eastAsiaTheme="minorEastAsia"/>
                <w:kern w:val="0"/>
                <w:sz w:val="24"/>
                <w:szCs w:val="24"/>
                <w:highlight w:val="none"/>
              </w:rPr>
              <w:t>一致。</w:t>
            </w:r>
          </w:p>
        </w:tc>
      </w:tr>
      <w:tr>
        <w:tblPrEx>
          <w:tblCellMar>
            <w:top w:w="0" w:type="dxa"/>
            <w:left w:w="108" w:type="dxa"/>
            <w:bottom w:w="0" w:type="dxa"/>
            <w:right w:w="108" w:type="dxa"/>
          </w:tblCellMar>
        </w:tblPrEx>
        <w:trPr>
          <w:trHeight w:val="819"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2</w:t>
            </w:r>
          </w:p>
        </w:tc>
        <w:tc>
          <w:tcPr>
            <w:tcW w:w="2091" w:type="dxa"/>
            <w:tcBorders>
              <w:top w:val="single" w:color="000000" w:sz="4" w:space="0"/>
              <w:left w:val="nil"/>
              <w:bottom w:val="single" w:color="000000" w:sz="4" w:space="0"/>
              <w:right w:val="single" w:color="000000" w:sz="4" w:space="0"/>
            </w:tcBorders>
            <w:vAlign w:val="center"/>
          </w:tcPr>
          <w:p>
            <w:pPr>
              <w:widowControl/>
              <w:autoSpaceDN w:val="0"/>
              <w:adjustRightInd w:val="0"/>
              <w:snapToGrid w:val="0"/>
              <w:spacing w:line="340" w:lineRule="exac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投标文件签字盖章要求</w:t>
            </w:r>
          </w:p>
        </w:tc>
        <w:tc>
          <w:tcPr>
            <w:tcW w:w="6298" w:type="dxa"/>
            <w:tcBorders>
              <w:top w:val="single" w:color="000000" w:sz="4" w:space="0"/>
              <w:left w:val="nil"/>
              <w:bottom w:val="single" w:color="000000" w:sz="4" w:space="0"/>
              <w:right w:val="single" w:color="000000" w:sz="4" w:space="0"/>
            </w:tcBorders>
          </w:tcPr>
          <w:p>
            <w:pPr>
              <w:widowControl/>
              <w:autoSpaceDN w:val="0"/>
              <w:adjustRightInd w:val="0"/>
              <w:snapToGrid w:val="0"/>
              <w:spacing w:line="340" w:lineRule="exac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投标文件应按招标文件要求</w:t>
            </w:r>
            <w:r>
              <w:rPr>
                <w:rFonts w:hint="eastAsia" w:cs="宋体" w:asciiTheme="minorEastAsia" w:hAnsiTheme="minorEastAsia" w:eastAsiaTheme="minorEastAsia"/>
                <w:sz w:val="24"/>
                <w:szCs w:val="24"/>
                <w:highlight w:val="none"/>
              </w:rPr>
              <w:t>签字盖章。</w:t>
            </w:r>
            <w:r>
              <w:rPr>
                <w:rFonts w:hint="eastAsia" w:cs="宋体" w:asciiTheme="minorEastAsia" w:hAnsiTheme="minorEastAsia" w:eastAsiaTheme="minorEastAsia"/>
                <w:b/>
                <w:bCs/>
                <w:sz w:val="24"/>
                <w:szCs w:val="24"/>
                <w:highlight w:val="none"/>
              </w:rPr>
              <w:t>招标文件中要求的复印件均要求加盖投标人公章，否则</w:t>
            </w:r>
            <w:r>
              <w:rPr>
                <w:rFonts w:hint="eastAsia" w:cs="宋体" w:asciiTheme="minorEastAsia" w:hAnsiTheme="minorEastAsia" w:eastAsiaTheme="minorEastAsia"/>
                <w:b/>
                <w:bCs/>
                <w:sz w:val="24"/>
                <w:szCs w:val="24"/>
                <w:highlight w:val="none"/>
                <w:lang w:val="en-US" w:eastAsia="zh-CN"/>
              </w:rPr>
              <w:t>投标资格无效</w:t>
            </w:r>
            <w:r>
              <w:rPr>
                <w:rFonts w:hint="eastAsia" w:cs="宋体" w:asciiTheme="minorEastAsia" w:hAnsiTheme="minorEastAsia" w:eastAsiaTheme="minorEastAsia"/>
                <w:b/>
                <w:bCs/>
                <w:sz w:val="24"/>
                <w:szCs w:val="24"/>
                <w:highlight w:val="none"/>
              </w:rPr>
              <w:t>。</w:t>
            </w:r>
          </w:p>
        </w:tc>
      </w:tr>
      <w:tr>
        <w:tblPrEx>
          <w:tblCellMar>
            <w:top w:w="0" w:type="dxa"/>
            <w:left w:w="108" w:type="dxa"/>
            <w:bottom w:w="0" w:type="dxa"/>
            <w:right w:w="108" w:type="dxa"/>
          </w:tblCellMar>
        </w:tblPrEx>
        <w:trPr>
          <w:trHeight w:val="1115"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3</w:t>
            </w:r>
          </w:p>
        </w:tc>
        <w:tc>
          <w:tcPr>
            <w:tcW w:w="2091" w:type="dxa"/>
            <w:tcBorders>
              <w:top w:val="single" w:color="000000" w:sz="4" w:space="0"/>
              <w:left w:val="nil"/>
              <w:bottom w:val="single" w:color="000000" w:sz="4" w:space="0"/>
              <w:right w:val="single" w:color="000000" w:sz="4" w:space="0"/>
            </w:tcBorders>
            <w:vAlign w:val="center"/>
          </w:tcPr>
          <w:p>
            <w:pPr>
              <w:widowControl/>
              <w:autoSpaceDN w:val="0"/>
              <w:adjustRightInd w:val="0"/>
              <w:snapToGrid w:val="0"/>
              <w:spacing w:line="340" w:lineRule="exac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投标文件格式及实质性要求</w:t>
            </w:r>
          </w:p>
        </w:tc>
        <w:tc>
          <w:tcPr>
            <w:tcW w:w="6298" w:type="dxa"/>
            <w:tcBorders>
              <w:top w:val="single" w:color="000000" w:sz="4" w:space="0"/>
              <w:left w:val="nil"/>
              <w:bottom w:val="single" w:color="000000" w:sz="4" w:space="0"/>
              <w:right w:val="single" w:color="000000" w:sz="4" w:space="0"/>
            </w:tcBorders>
          </w:tcPr>
          <w:p>
            <w:pPr>
              <w:widowControl/>
              <w:autoSpaceDN w:val="0"/>
              <w:adjustRightInd w:val="0"/>
              <w:snapToGrid w:val="0"/>
              <w:spacing w:line="340" w:lineRule="exac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须按招标文件规定的格式填写，不得出现关键字迹模糊、无法辨认等情况，且实质性内容完整无</w:t>
            </w:r>
            <w:r>
              <w:rPr>
                <w:rFonts w:hint="eastAsia" w:cs="宋体" w:asciiTheme="minorEastAsia" w:hAnsiTheme="minorEastAsia" w:eastAsiaTheme="minorEastAsia"/>
                <w:sz w:val="24"/>
                <w:szCs w:val="24"/>
                <w:highlight w:val="none"/>
              </w:rPr>
              <w:t>招标人不能接受的其它实质性条件</w:t>
            </w:r>
            <w:r>
              <w:rPr>
                <w:rFonts w:hint="eastAsia" w:asciiTheme="minorEastAsia" w:hAnsiTheme="minorEastAsia" w:eastAsiaTheme="minorEastAsia"/>
                <w:kern w:val="0"/>
                <w:sz w:val="24"/>
                <w:szCs w:val="24"/>
                <w:highlight w:val="none"/>
              </w:rPr>
              <w:t>。</w:t>
            </w:r>
          </w:p>
        </w:tc>
      </w:tr>
      <w:tr>
        <w:tblPrEx>
          <w:tblCellMar>
            <w:top w:w="0" w:type="dxa"/>
            <w:left w:w="108" w:type="dxa"/>
            <w:bottom w:w="0" w:type="dxa"/>
            <w:right w:w="108" w:type="dxa"/>
          </w:tblCellMar>
        </w:tblPrEx>
        <w:trPr>
          <w:trHeight w:val="742"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4</w:t>
            </w:r>
          </w:p>
        </w:tc>
        <w:tc>
          <w:tcPr>
            <w:tcW w:w="2091" w:type="dxa"/>
            <w:tcBorders>
              <w:top w:val="single" w:color="000000" w:sz="4" w:space="0"/>
              <w:left w:val="nil"/>
              <w:bottom w:val="single" w:color="000000" w:sz="4" w:space="0"/>
              <w:right w:val="single" w:color="000000" w:sz="4" w:space="0"/>
            </w:tcBorders>
            <w:vAlign w:val="center"/>
          </w:tcPr>
          <w:p>
            <w:pPr>
              <w:widowControl/>
              <w:autoSpaceDN w:val="0"/>
              <w:adjustRightInd w:val="0"/>
              <w:snapToGrid w:val="0"/>
              <w:spacing w:line="340" w:lineRule="exac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投标文件的唯一性和确定性</w:t>
            </w:r>
          </w:p>
        </w:tc>
        <w:tc>
          <w:tcPr>
            <w:tcW w:w="6298" w:type="dxa"/>
            <w:tcBorders>
              <w:top w:val="single" w:color="000000" w:sz="4" w:space="0"/>
              <w:left w:val="nil"/>
              <w:bottom w:val="single" w:color="000000" w:sz="4" w:space="0"/>
              <w:right w:val="single" w:color="000000" w:sz="4" w:space="0"/>
            </w:tcBorders>
          </w:tcPr>
          <w:p>
            <w:pPr>
              <w:widowControl/>
              <w:autoSpaceDN w:val="0"/>
              <w:adjustRightInd w:val="0"/>
              <w:snapToGrid w:val="0"/>
              <w:spacing w:line="340" w:lineRule="exact"/>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投标单位不得递交两份或多份内容不同的投标文件，且未声明哪一个有效，按招标文件规定提交投标替代方案的除外。</w:t>
            </w:r>
          </w:p>
        </w:tc>
      </w:tr>
      <w:tr>
        <w:tblPrEx>
          <w:tblCellMar>
            <w:top w:w="0" w:type="dxa"/>
            <w:left w:w="108" w:type="dxa"/>
            <w:bottom w:w="0" w:type="dxa"/>
            <w:right w:w="108" w:type="dxa"/>
          </w:tblCellMar>
        </w:tblPrEx>
        <w:trPr>
          <w:trHeight w:val="572" w:hRule="atLeast"/>
        </w:trPr>
        <w:tc>
          <w:tcPr>
            <w:tcW w:w="9039"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eastAsia" w:eastAsia="宋体" w:asciiTheme="minorEastAsia" w:hAnsiTheme="minorEastAsia"/>
                <w:kern w:val="0"/>
                <w:sz w:val="24"/>
                <w:szCs w:val="24"/>
                <w:highlight w:val="none"/>
                <w:lang w:val="en-US" w:eastAsia="zh-CN"/>
              </w:rPr>
            </w:pPr>
            <w:r>
              <w:rPr>
                <w:rFonts w:hint="eastAsia" w:ascii="宋体" w:hAnsi="宋体" w:cs="宋体"/>
                <w:sz w:val="24"/>
                <w:highlight w:val="none"/>
              </w:rPr>
              <w:t>资格评审</w:t>
            </w:r>
            <w:r>
              <w:rPr>
                <w:rFonts w:hint="eastAsia" w:ascii="宋体" w:hAnsi="宋体" w:cs="宋体"/>
                <w:sz w:val="24"/>
                <w:highlight w:val="none"/>
                <w:lang w:val="en-US" w:eastAsia="zh-CN"/>
              </w:rPr>
              <w:t>标准</w:t>
            </w:r>
          </w:p>
        </w:tc>
      </w:tr>
      <w:tr>
        <w:tblPrEx>
          <w:tblCellMar>
            <w:top w:w="0" w:type="dxa"/>
            <w:left w:w="108" w:type="dxa"/>
            <w:bottom w:w="0" w:type="dxa"/>
            <w:right w:w="108" w:type="dxa"/>
          </w:tblCellMar>
        </w:tblPrEx>
        <w:trPr>
          <w:trHeight w:val="567"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eastAsia"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5</w:t>
            </w:r>
          </w:p>
        </w:tc>
        <w:tc>
          <w:tcPr>
            <w:tcW w:w="2091" w:type="dxa"/>
            <w:tcBorders>
              <w:top w:val="single" w:color="000000" w:sz="4" w:space="0"/>
              <w:left w:val="nil"/>
              <w:bottom w:val="single" w:color="000000" w:sz="4" w:space="0"/>
              <w:right w:val="single" w:color="000000" w:sz="4" w:space="0"/>
            </w:tcBorders>
            <w:vAlign w:val="center"/>
          </w:tcPr>
          <w:p>
            <w:pPr>
              <w:spacing w:line="440" w:lineRule="exact"/>
              <w:rPr>
                <w:rFonts w:hint="eastAsia" w:asciiTheme="minorEastAsia" w:hAnsiTheme="minorEastAsia" w:eastAsiaTheme="minorEastAsia"/>
                <w:kern w:val="0"/>
                <w:sz w:val="24"/>
                <w:szCs w:val="24"/>
                <w:highlight w:val="none"/>
              </w:rPr>
            </w:pPr>
            <w:r>
              <w:rPr>
                <w:rFonts w:hint="eastAsia" w:ascii="宋体" w:hAnsi="宋体" w:cs="宋体"/>
                <w:sz w:val="24"/>
                <w:highlight w:val="none"/>
              </w:rPr>
              <w:t>营业执照</w:t>
            </w:r>
          </w:p>
        </w:tc>
        <w:tc>
          <w:tcPr>
            <w:tcW w:w="6298" w:type="dxa"/>
            <w:tcBorders>
              <w:top w:val="single" w:color="000000" w:sz="4" w:space="0"/>
              <w:left w:val="nil"/>
              <w:bottom w:val="single" w:color="000000" w:sz="4" w:space="0"/>
              <w:right w:val="single" w:color="000000" w:sz="4" w:space="0"/>
            </w:tcBorders>
            <w:vAlign w:val="center"/>
          </w:tcPr>
          <w:p>
            <w:pPr>
              <w:spacing w:line="440" w:lineRule="exact"/>
              <w:rPr>
                <w:rFonts w:hint="eastAsia" w:asciiTheme="minorEastAsia" w:hAnsiTheme="minorEastAsia" w:eastAsiaTheme="minorEastAsia"/>
                <w:kern w:val="0"/>
                <w:sz w:val="24"/>
                <w:szCs w:val="24"/>
                <w:highlight w:val="none"/>
              </w:rPr>
            </w:pPr>
            <w:r>
              <w:rPr>
                <w:rFonts w:hint="eastAsia" w:ascii="宋体" w:hAnsi="宋体" w:cs="宋体"/>
                <w:kern w:val="0"/>
                <w:sz w:val="24"/>
                <w:highlight w:val="none"/>
              </w:rPr>
              <w:t>提供有效的</w:t>
            </w:r>
            <w:r>
              <w:rPr>
                <w:rFonts w:hint="eastAsia" w:ascii="宋体" w:hAnsi="宋体" w:cs="宋体"/>
                <w:sz w:val="24"/>
                <w:highlight w:val="none"/>
              </w:rPr>
              <w:t>《营业执照》</w:t>
            </w:r>
          </w:p>
        </w:tc>
      </w:tr>
      <w:tr>
        <w:tblPrEx>
          <w:tblCellMar>
            <w:top w:w="0" w:type="dxa"/>
            <w:left w:w="108" w:type="dxa"/>
            <w:bottom w:w="0" w:type="dxa"/>
            <w:right w:w="108" w:type="dxa"/>
          </w:tblCellMar>
        </w:tblPrEx>
        <w:trPr>
          <w:trHeight w:val="567"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default"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6</w:t>
            </w:r>
          </w:p>
        </w:tc>
        <w:tc>
          <w:tcPr>
            <w:tcW w:w="2091" w:type="dxa"/>
            <w:tcBorders>
              <w:top w:val="single" w:color="000000" w:sz="4" w:space="0"/>
              <w:left w:val="nil"/>
              <w:bottom w:val="single" w:color="000000" w:sz="4" w:space="0"/>
              <w:right w:val="single" w:color="000000" w:sz="4" w:space="0"/>
            </w:tcBorders>
            <w:vAlign w:val="center"/>
          </w:tcPr>
          <w:p>
            <w:pPr>
              <w:spacing w:line="440" w:lineRule="exact"/>
              <w:rPr>
                <w:rFonts w:hint="eastAsia" w:asciiTheme="minorEastAsia" w:hAnsiTheme="minorEastAsia" w:eastAsiaTheme="minorEastAsia"/>
                <w:kern w:val="0"/>
                <w:sz w:val="24"/>
                <w:szCs w:val="24"/>
                <w:highlight w:val="none"/>
              </w:rPr>
            </w:pPr>
            <w:r>
              <w:rPr>
                <w:rFonts w:hint="eastAsia" w:ascii="宋体" w:hAnsi="宋体" w:cs="宋体"/>
                <w:sz w:val="24"/>
                <w:highlight w:val="none"/>
              </w:rPr>
              <w:t>联合体投标</w:t>
            </w:r>
          </w:p>
        </w:tc>
        <w:tc>
          <w:tcPr>
            <w:tcW w:w="6298" w:type="dxa"/>
            <w:tcBorders>
              <w:top w:val="single" w:color="000000" w:sz="4" w:space="0"/>
              <w:left w:val="nil"/>
              <w:bottom w:val="single" w:color="000000" w:sz="4" w:space="0"/>
              <w:right w:val="single" w:color="000000" w:sz="4" w:space="0"/>
            </w:tcBorders>
            <w:vAlign w:val="center"/>
          </w:tcPr>
          <w:p>
            <w:pPr>
              <w:spacing w:line="440" w:lineRule="exact"/>
              <w:rPr>
                <w:rFonts w:hint="eastAsia" w:asciiTheme="minorEastAsia" w:hAnsiTheme="minorEastAsia" w:eastAsiaTheme="minorEastAsia"/>
                <w:kern w:val="0"/>
                <w:sz w:val="24"/>
                <w:szCs w:val="24"/>
                <w:highlight w:val="none"/>
              </w:rPr>
            </w:pPr>
            <w:r>
              <w:rPr>
                <w:rFonts w:hint="eastAsia" w:ascii="宋体" w:hAnsi="宋体" w:cs="宋体"/>
                <w:sz w:val="24"/>
                <w:highlight w:val="none"/>
              </w:rPr>
              <w:t>本项目不接受联合体投标</w:t>
            </w:r>
          </w:p>
        </w:tc>
      </w:tr>
      <w:tr>
        <w:tblPrEx>
          <w:tblCellMar>
            <w:top w:w="0" w:type="dxa"/>
            <w:left w:w="108" w:type="dxa"/>
            <w:bottom w:w="0" w:type="dxa"/>
            <w:right w:w="108" w:type="dxa"/>
          </w:tblCellMar>
        </w:tblPrEx>
        <w:trPr>
          <w:trHeight w:val="567"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default"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7</w:t>
            </w:r>
          </w:p>
        </w:tc>
        <w:tc>
          <w:tcPr>
            <w:tcW w:w="2091" w:type="dxa"/>
            <w:tcBorders>
              <w:top w:val="single" w:color="000000" w:sz="4" w:space="0"/>
              <w:left w:val="nil"/>
              <w:bottom w:val="single" w:color="000000" w:sz="4" w:space="0"/>
              <w:right w:val="single" w:color="000000" w:sz="4" w:space="0"/>
            </w:tcBorders>
            <w:vAlign w:val="center"/>
          </w:tcPr>
          <w:p>
            <w:pPr>
              <w:spacing w:line="440" w:lineRule="exact"/>
              <w:rPr>
                <w:rFonts w:hint="eastAsia" w:asciiTheme="minorEastAsia" w:hAnsiTheme="minorEastAsia" w:eastAsiaTheme="minorEastAsia"/>
                <w:kern w:val="0"/>
                <w:sz w:val="24"/>
                <w:szCs w:val="24"/>
                <w:highlight w:val="none"/>
              </w:rPr>
            </w:pPr>
            <w:r>
              <w:rPr>
                <w:rFonts w:hint="eastAsia" w:ascii="宋体" w:hAnsi="宋体" w:cs="宋体"/>
                <w:sz w:val="24"/>
                <w:highlight w:val="none"/>
              </w:rPr>
              <w:t>其他要求</w:t>
            </w:r>
          </w:p>
        </w:tc>
        <w:tc>
          <w:tcPr>
            <w:tcW w:w="6298" w:type="dxa"/>
            <w:tcBorders>
              <w:top w:val="single" w:color="000000" w:sz="4" w:space="0"/>
              <w:left w:val="nil"/>
              <w:bottom w:val="single" w:color="000000" w:sz="4" w:space="0"/>
              <w:right w:val="single" w:color="000000" w:sz="4" w:space="0"/>
            </w:tcBorders>
            <w:vAlign w:val="center"/>
          </w:tcPr>
          <w:p>
            <w:pPr>
              <w:spacing w:line="440" w:lineRule="exact"/>
              <w:rPr>
                <w:rFonts w:hint="eastAsia" w:asciiTheme="minorEastAsia" w:hAnsiTheme="minorEastAsia" w:eastAsiaTheme="minorEastAsia"/>
                <w:kern w:val="0"/>
                <w:sz w:val="24"/>
                <w:szCs w:val="24"/>
                <w:highlight w:val="none"/>
              </w:rPr>
            </w:pPr>
            <w:r>
              <w:rPr>
                <w:rFonts w:hint="eastAsia" w:ascii="宋体" w:hAnsi="宋体" w:cs="宋体"/>
                <w:sz w:val="24"/>
                <w:highlight w:val="none"/>
              </w:rPr>
              <w:t>详见招标公告</w:t>
            </w:r>
          </w:p>
        </w:tc>
      </w:tr>
      <w:tr>
        <w:tblPrEx>
          <w:tblCellMar>
            <w:top w:w="0" w:type="dxa"/>
            <w:left w:w="108" w:type="dxa"/>
            <w:bottom w:w="0" w:type="dxa"/>
            <w:right w:w="108" w:type="dxa"/>
          </w:tblCellMar>
        </w:tblPrEx>
        <w:trPr>
          <w:trHeight w:val="567" w:hRule="atLeast"/>
        </w:trPr>
        <w:tc>
          <w:tcPr>
            <w:tcW w:w="9039"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 w:val="24"/>
                <w:highlight w:val="none"/>
              </w:rPr>
            </w:pPr>
            <w:r>
              <w:rPr>
                <w:rFonts w:hint="eastAsia" w:ascii="宋体" w:hAnsi="宋体" w:cs="宋体"/>
                <w:sz w:val="24"/>
                <w:highlight w:val="none"/>
              </w:rPr>
              <w:t>响应性评审</w:t>
            </w:r>
            <w:r>
              <w:rPr>
                <w:rFonts w:hint="eastAsia" w:ascii="宋体" w:hAnsi="宋体" w:cs="宋体"/>
                <w:sz w:val="24"/>
                <w:highlight w:val="none"/>
                <w:lang w:val="en-US" w:eastAsia="zh-CN"/>
              </w:rPr>
              <w:t>标准</w:t>
            </w:r>
          </w:p>
        </w:tc>
      </w:tr>
      <w:tr>
        <w:tblPrEx>
          <w:tblCellMar>
            <w:top w:w="0" w:type="dxa"/>
            <w:left w:w="108" w:type="dxa"/>
            <w:bottom w:w="0" w:type="dxa"/>
            <w:right w:w="108" w:type="dxa"/>
          </w:tblCellMar>
        </w:tblPrEx>
        <w:trPr>
          <w:trHeight w:val="567"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default"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8</w:t>
            </w:r>
          </w:p>
        </w:tc>
        <w:tc>
          <w:tcPr>
            <w:tcW w:w="2091"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投标内容</w:t>
            </w:r>
          </w:p>
        </w:tc>
        <w:tc>
          <w:tcPr>
            <w:tcW w:w="6298"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符合招标文件要求</w:t>
            </w:r>
          </w:p>
        </w:tc>
      </w:tr>
      <w:tr>
        <w:tblPrEx>
          <w:tblCellMar>
            <w:top w:w="0" w:type="dxa"/>
            <w:left w:w="108" w:type="dxa"/>
            <w:bottom w:w="0" w:type="dxa"/>
            <w:right w:w="108" w:type="dxa"/>
          </w:tblCellMar>
        </w:tblPrEx>
        <w:trPr>
          <w:trHeight w:val="567"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default"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9</w:t>
            </w:r>
          </w:p>
        </w:tc>
        <w:tc>
          <w:tcPr>
            <w:tcW w:w="2091"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服务期限</w:t>
            </w:r>
          </w:p>
        </w:tc>
        <w:tc>
          <w:tcPr>
            <w:tcW w:w="6298"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符合招标文件要求</w:t>
            </w:r>
          </w:p>
        </w:tc>
      </w:tr>
      <w:tr>
        <w:tblPrEx>
          <w:tblCellMar>
            <w:top w:w="0" w:type="dxa"/>
            <w:left w:w="108" w:type="dxa"/>
            <w:bottom w:w="0" w:type="dxa"/>
            <w:right w:w="108" w:type="dxa"/>
          </w:tblCellMar>
        </w:tblPrEx>
        <w:trPr>
          <w:trHeight w:val="567"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default"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10</w:t>
            </w:r>
          </w:p>
        </w:tc>
        <w:tc>
          <w:tcPr>
            <w:tcW w:w="2091"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投标报价</w:t>
            </w:r>
          </w:p>
        </w:tc>
        <w:tc>
          <w:tcPr>
            <w:tcW w:w="6298" w:type="dxa"/>
            <w:tcBorders>
              <w:top w:val="single" w:color="000000" w:sz="4" w:space="0"/>
              <w:left w:val="nil"/>
              <w:bottom w:val="single" w:color="000000" w:sz="4" w:space="0"/>
              <w:right w:val="single" w:color="000000" w:sz="4" w:space="0"/>
            </w:tcBorders>
            <w:vAlign w:val="center"/>
          </w:tcPr>
          <w:p>
            <w:pPr>
              <w:spacing w:line="440" w:lineRule="exact"/>
              <w:rPr>
                <w:rFonts w:hint="default" w:ascii="宋体" w:hAnsi="宋体" w:eastAsia="宋体" w:cs="宋体"/>
                <w:kern w:val="2"/>
                <w:sz w:val="24"/>
                <w:szCs w:val="21"/>
                <w:highlight w:val="none"/>
                <w:lang w:val="en-US" w:eastAsia="zh-CN" w:bidi="ar-SA"/>
              </w:rPr>
            </w:pPr>
            <w:r>
              <w:rPr>
                <w:rFonts w:hint="eastAsia" w:ascii="宋体" w:hAnsi="宋体" w:cs="宋体"/>
                <w:sz w:val="24"/>
                <w:highlight w:val="none"/>
                <w:lang w:val="en-US" w:eastAsia="zh-CN"/>
              </w:rPr>
              <w:t>本项目无报价，不作要求</w:t>
            </w:r>
          </w:p>
        </w:tc>
      </w:tr>
      <w:tr>
        <w:tblPrEx>
          <w:tblCellMar>
            <w:top w:w="0" w:type="dxa"/>
            <w:left w:w="108" w:type="dxa"/>
            <w:bottom w:w="0" w:type="dxa"/>
            <w:right w:w="108" w:type="dxa"/>
          </w:tblCellMar>
        </w:tblPrEx>
        <w:trPr>
          <w:trHeight w:val="567"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default"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11</w:t>
            </w:r>
          </w:p>
        </w:tc>
        <w:tc>
          <w:tcPr>
            <w:tcW w:w="2091"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付款方式</w:t>
            </w:r>
          </w:p>
        </w:tc>
        <w:tc>
          <w:tcPr>
            <w:tcW w:w="6298"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符合招标文件要求</w:t>
            </w:r>
          </w:p>
        </w:tc>
      </w:tr>
      <w:tr>
        <w:tblPrEx>
          <w:tblCellMar>
            <w:top w:w="0" w:type="dxa"/>
            <w:left w:w="108" w:type="dxa"/>
            <w:bottom w:w="0" w:type="dxa"/>
            <w:right w:w="108" w:type="dxa"/>
          </w:tblCellMar>
        </w:tblPrEx>
        <w:trPr>
          <w:trHeight w:val="567"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spacing w:line="340" w:lineRule="exact"/>
              <w:jc w:val="center"/>
              <w:rPr>
                <w:rFonts w:hint="default" w:asciiTheme="minorEastAsia" w:hAnsiTheme="minorEastAsia" w:eastAsiaTheme="minorEastAsia"/>
                <w:kern w:val="0"/>
                <w:sz w:val="24"/>
                <w:szCs w:val="24"/>
                <w:highlight w:val="none"/>
                <w:lang w:val="en-US" w:eastAsia="zh-CN"/>
              </w:rPr>
            </w:pPr>
            <w:r>
              <w:rPr>
                <w:rFonts w:hint="eastAsia" w:asciiTheme="minorEastAsia" w:hAnsiTheme="minorEastAsia" w:eastAsiaTheme="minorEastAsia"/>
                <w:kern w:val="0"/>
                <w:sz w:val="24"/>
                <w:szCs w:val="24"/>
                <w:highlight w:val="none"/>
                <w:lang w:val="en-US" w:eastAsia="zh-CN"/>
              </w:rPr>
              <w:t>12</w:t>
            </w:r>
          </w:p>
        </w:tc>
        <w:tc>
          <w:tcPr>
            <w:tcW w:w="2091"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投标保证金</w:t>
            </w:r>
          </w:p>
        </w:tc>
        <w:tc>
          <w:tcPr>
            <w:tcW w:w="6298"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eastAsia="宋体" w:cs="宋体"/>
                <w:kern w:val="2"/>
                <w:sz w:val="24"/>
                <w:szCs w:val="21"/>
                <w:highlight w:val="none"/>
                <w:lang w:val="en-US" w:eastAsia="zh-CN" w:bidi="ar-SA"/>
              </w:rPr>
            </w:pPr>
            <w:r>
              <w:rPr>
                <w:rFonts w:hint="eastAsia" w:ascii="宋体" w:hAnsi="宋体" w:cs="宋体"/>
                <w:sz w:val="24"/>
                <w:highlight w:val="none"/>
              </w:rPr>
              <w:t>符合招标文件要求</w:t>
            </w:r>
          </w:p>
        </w:tc>
      </w:tr>
    </w:tbl>
    <w:p>
      <w:pPr>
        <w:adjustRightInd w:val="0"/>
        <w:snapToGrid w:val="0"/>
        <w:spacing w:line="340" w:lineRule="exact"/>
        <w:rPr>
          <w:rFonts w:cs="宋体" w:asciiTheme="minorEastAsia" w:hAnsiTheme="minorEastAsia" w:eastAsiaTheme="minorEastAsia"/>
          <w:b/>
          <w:kern w:val="10"/>
          <w:sz w:val="24"/>
          <w:szCs w:val="24"/>
          <w:highlight w:val="none"/>
        </w:rPr>
      </w:pPr>
      <w:r>
        <w:rPr>
          <w:rFonts w:hint="eastAsia" w:cs="宋体" w:asciiTheme="minorEastAsia" w:hAnsiTheme="minorEastAsia" w:eastAsiaTheme="minorEastAsia"/>
          <w:b/>
          <w:kern w:val="10"/>
          <w:sz w:val="24"/>
          <w:szCs w:val="24"/>
          <w:highlight w:val="none"/>
        </w:rPr>
        <w:t>以上评审有</w:t>
      </w:r>
      <w:r>
        <w:rPr>
          <w:rFonts w:hint="eastAsia" w:cs="宋体" w:asciiTheme="minorEastAsia" w:hAnsiTheme="minorEastAsia" w:eastAsiaTheme="minorEastAsia"/>
          <w:b/>
          <w:sz w:val="24"/>
          <w:szCs w:val="24"/>
          <w:highlight w:val="none"/>
        </w:rPr>
        <w:t>任何</w:t>
      </w:r>
      <w:r>
        <w:rPr>
          <w:rFonts w:hint="eastAsia" w:cs="宋体" w:asciiTheme="minorEastAsia" w:hAnsiTheme="minorEastAsia" w:eastAsiaTheme="minorEastAsia"/>
          <w:b/>
          <w:kern w:val="10"/>
          <w:sz w:val="24"/>
          <w:szCs w:val="24"/>
          <w:highlight w:val="none"/>
        </w:rPr>
        <w:t>一项未通过的，初步评审不合格，</w:t>
      </w:r>
      <w:r>
        <w:rPr>
          <w:rFonts w:hint="eastAsia" w:cs="宋体" w:asciiTheme="minorEastAsia" w:hAnsiTheme="minorEastAsia" w:eastAsiaTheme="minorEastAsia"/>
          <w:b/>
          <w:sz w:val="24"/>
          <w:szCs w:val="24"/>
          <w:highlight w:val="none"/>
        </w:rPr>
        <w:t>投标文件按无效投标文件处理</w:t>
      </w:r>
      <w:r>
        <w:rPr>
          <w:rFonts w:hint="eastAsia" w:cs="宋体" w:asciiTheme="minorEastAsia" w:hAnsiTheme="minorEastAsia" w:eastAsiaTheme="minorEastAsia"/>
          <w:kern w:val="10"/>
          <w:sz w:val="24"/>
          <w:szCs w:val="24"/>
          <w:highlight w:val="none"/>
        </w:rPr>
        <w:t>。</w:t>
      </w:r>
    </w:p>
    <w:p>
      <w:pPr>
        <w:widowControl/>
        <w:adjustRightInd w:val="0"/>
        <w:snapToGrid w:val="0"/>
        <w:spacing w:line="340" w:lineRule="exact"/>
        <w:jc w:val="center"/>
        <w:rPr>
          <w:rFonts w:asciiTheme="minorEastAsia" w:hAnsiTheme="minorEastAsia" w:eastAsiaTheme="minorEastAsia"/>
          <w:b/>
          <w:bCs/>
          <w:kern w:val="0"/>
          <w:sz w:val="24"/>
          <w:szCs w:val="24"/>
          <w:highlight w:val="none"/>
        </w:rPr>
      </w:pPr>
    </w:p>
    <w:p>
      <w:pPr>
        <w:rPr>
          <w:rFonts w:hint="eastAsia" w:asciiTheme="minorEastAsia" w:hAnsiTheme="minorEastAsia" w:eastAsiaTheme="minorEastAsia"/>
          <w:b/>
          <w:bCs/>
          <w:kern w:val="0"/>
          <w:sz w:val="24"/>
          <w:szCs w:val="24"/>
          <w:highlight w:val="none"/>
        </w:rPr>
      </w:pPr>
      <w:r>
        <w:rPr>
          <w:rFonts w:hint="eastAsia" w:asciiTheme="minorEastAsia" w:hAnsiTheme="minorEastAsia" w:eastAsiaTheme="minorEastAsia"/>
          <w:b/>
          <w:bCs/>
          <w:kern w:val="0"/>
          <w:sz w:val="24"/>
          <w:szCs w:val="24"/>
          <w:highlight w:val="none"/>
        </w:rPr>
        <w:br w:type="page"/>
      </w:r>
    </w:p>
    <w:p>
      <w:pPr>
        <w:widowControl/>
        <w:adjustRightInd w:val="0"/>
        <w:snapToGrid w:val="0"/>
        <w:spacing w:line="340" w:lineRule="exact"/>
        <w:jc w:val="center"/>
        <w:rPr>
          <w:rFonts w:asciiTheme="minorEastAsia" w:hAnsiTheme="minorEastAsia" w:eastAsiaTheme="minorEastAsia"/>
          <w:b/>
          <w:bCs/>
          <w:kern w:val="0"/>
          <w:sz w:val="24"/>
          <w:szCs w:val="24"/>
          <w:highlight w:val="none"/>
        </w:rPr>
      </w:pPr>
      <w:r>
        <w:rPr>
          <w:rFonts w:hint="eastAsia" w:asciiTheme="minorEastAsia" w:hAnsiTheme="minorEastAsia" w:eastAsiaTheme="minorEastAsia"/>
          <w:b/>
          <w:bCs/>
          <w:kern w:val="0"/>
          <w:sz w:val="24"/>
          <w:szCs w:val="24"/>
          <w:highlight w:val="none"/>
        </w:rPr>
        <w:t>评审办法前附表二（综合评分指标，总计</w:t>
      </w:r>
      <w:r>
        <w:rPr>
          <w:rFonts w:asciiTheme="minorEastAsia" w:hAnsiTheme="minorEastAsia" w:eastAsiaTheme="minorEastAsia"/>
          <w:b/>
          <w:bCs/>
          <w:kern w:val="0"/>
          <w:sz w:val="24"/>
          <w:szCs w:val="24"/>
          <w:highlight w:val="none"/>
        </w:rPr>
        <w:t>100</w:t>
      </w:r>
      <w:r>
        <w:rPr>
          <w:rFonts w:hint="eastAsia" w:asciiTheme="minorEastAsia" w:hAnsiTheme="minorEastAsia" w:eastAsiaTheme="minorEastAsia"/>
          <w:b/>
          <w:bCs/>
          <w:kern w:val="0"/>
          <w:sz w:val="24"/>
          <w:szCs w:val="24"/>
          <w:highlight w:val="none"/>
        </w:rPr>
        <w:t>分）</w:t>
      </w:r>
    </w:p>
    <w:p>
      <w:pPr>
        <w:widowControl/>
        <w:adjustRightInd w:val="0"/>
        <w:snapToGrid w:val="0"/>
        <w:spacing w:line="340" w:lineRule="exact"/>
        <w:jc w:val="center"/>
        <w:rPr>
          <w:rFonts w:asciiTheme="minorEastAsia" w:hAnsiTheme="minorEastAsia" w:eastAsiaTheme="minorEastAsia"/>
          <w:b/>
          <w:bCs/>
          <w:kern w:val="0"/>
          <w:sz w:val="24"/>
          <w:szCs w:val="24"/>
          <w:highlight w:val="none"/>
        </w:rPr>
      </w:pPr>
      <w:r>
        <w:rPr>
          <w:rFonts w:hint="eastAsia" w:asciiTheme="minorEastAsia" w:hAnsiTheme="minorEastAsia" w:eastAsiaTheme="minorEastAsia"/>
          <w:b/>
          <w:bCs/>
          <w:kern w:val="0"/>
          <w:sz w:val="24"/>
          <w:szCs w:val="24"/>
          <w:highlight w:val="none"/>
        </w:rPr>
        <w:t>评分表</w:t>
      </w:r>
    </w:p>
    <w:tbl>
      <w:tblPr>
        <w:tblStyle w:val="25"/>
        <w:tblpPr w:leftFromText="180" w:rightFromText="180" w:vertAnchor="text" w:horzAnchor="page" w:tblpX="1432" w:tblpY="321"/>
        <w:tblOverlap w:val="never"/>
        <w:tblW w:w="97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35"/>
        <w:gridCol w:w="1127"/>
        <w:gridCol w:w="1067"/>
        <w:gridCol w:w="5694"/>
        <w:gridCol w:w="1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635" w:type="dxa"/>
            <w:tcBorders>
              <w:top w:val="single" w:color="auto" w:sz="12" w:space="0"/>
            </w:tcBorders>
            <w:vAlign w:val="center"/>
          </w:tcPr>
          <w:p>
            <w:pPr>
              <w:spacing w:line="240" w:lineRule="atLeas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1127" w:type="dxa"/>
            <w:tcBorders>
              <w:top w:val="single" w:color="auto" w:sz="12" w:space="0"/>
            </w:tcBorders>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评议内容</w:t>
            </w:r>
          </w:p>
        </w:tc>
        <w:tc>
          <w:tcPr>
            <w:tcW w:w="6761" w:type="dxa"/>
            <w:gridSpan w:val="2"/>
            <w:tcBorders>
              <w:top w:val="single" w:color="auto" w:sz="12" w:space="0"/>
            </w:tcBorders>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评分细则</w:t>
            </w:r>
          </w:p>
        </w:tc>
        <w:tc>
          <w:tcPr>
            <w:tcW w:w="1255" w:type="dxa"/>
            <w:tcBorders>
              <w:top w:val="single" w:color="auto" w:sz="12" w:space="0"/>
            </w:tcBorders>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5"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w:t>
            </w:r>
          </w:p>
        </w:tc>
        <w:tc>
          <w:tcPr>
            <w:tcW w:w="1127"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企业综合实力</w:t>
            </w:r>
          </w:p>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30</w:t>
            </w:r>
            <w:r>
              <w:rPr>
                <w:rFonts w:asciiTheme="minorEastAsia" w:hAnsiTheme="minorEastAsia" w:eastAsiaTheme="minorEastAsia"/>
                <w:sz w:val="24"/>
                <w:szCs w:val="24"/>
                <w:highlight w:val="none"/>
              </w:rPr>
              <w:t>分</w:t>
            </w:r>
          </w:p>
        </w:tc>
        <w:tc>
          <w:tcPr>
            <w:tcW w:w="1067" w:type="dxa"/>
            <w:vAlign w:val="center"/>
          </w:tcPr>
          <w:p>
            <w:pPr>
              <w:spacing w:line="240" w:lineRule="atLeast"/>
              <w:ind w:right="53" w:rightChars="25"/>
              <w:jc w:val="center"/>
              <w:rPr>
                <w:rFonts w:asciiTheme="minorEastAsia" w:hAnsiTheme="minorEastAsia" w:eastAsiaTheme="minorEastAsia"/>
                <w:sz w:val="24"/>
                <w:szCs w:val="24"/>
                <w:highlight w:val="none"/>
              </w:rPr>
            </w:pPr>
          </w:p>
        </w:tc>
        <w:tc>
          <w:tcPr>
            <w:tcW w:w="5694" w:type="dxa"/>
            <w:vAlign w:val="center"/>
          </w:tcPr>
          <w:p>
            <w:pPr>
              <w:spacing w:line="240" w:lineRule="atLeast"/>
              <w:ind w:right="53" w:rightChars="25"/>
              <w:jc w:val="left"/>
              <w:rPr>
                <w:highlight w:val="none"/>
              </w:rPr>
            </w:pPr>
          </w:p>
        </w:tc>
        <w:tc>
          <w:tcPr>
            <w:tcW w:w="1255" w:type="dxa"/>
            <w:vAlign w:val="center"/>
          </w:tcPr>
          <w:p>
            <w:pPr>
              <w:spacing w:line="240" w:lineRule="atLeast"/>
              <w:jc w:val="center"/>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13"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Align w:val="center"/>
          </w:tcPr>
          <w:p>
            <w:pPr>
              <w:spacing w:line="240" w:lineRule="atLeast"/>
              <w:ind w:right="53" w:rightChars="25"/>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企业奖项</w:t>
            </w:r>
          </w:p>
        </w:tc>
        <w:tc>
          <w:tcPr>
            <w:tcW w:w="5694" w:type="dxa"/>
            <w:vAlign w:val="center"/>
          </w:tcPr>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201</w:t>
            </w:r>
            <w:r>
              <w:rPr>
                <w:rFonts w:hint="eastAsia" w:asciiTheme="minorEastAsia" w:hAnsiTheme="minorEastAsia" w:eastAsiaTheme="minorEastAsia"/>
                <w:sz w:val="24"/>
                <w:szCs w:val="24"/>
                <w:highlight w:val="none"/>
              </w:rPr>
              <w:t>6年</w:t>
            </w:r>
            <w:r>
              <w:rPr>
                <w:rFonts w:asciiTheme="minorEastAsia" w:hAnsiTheme="minorEastAsia" w:eastAsiaTheme="minorEastAsia"/>
                <w:sz w:val="24"/>
                <w:szCs w:val="24"/>
                <w:highlight w:val="none"/>
              </w:rPr>
              <w:t>1月1日以来（以证书落款日期为准）获得过</w:t>
            </w:r>
            <w:r>
              <w:rPr>
                <w:rFonts w:hint="eastAsia" w:asciiTheme="minorEastAsia" w:hAnsiTheme="minorEastAsia" w:eastAsiaTheme="minorEastAsia"/>
                <w:sz w:val="24"/>
                <w:szCs w:val="24"/>
                <w:highlight w:val="none"/>
              </w:rPr>
              <w:t>中国土木工程学会建筑市场与招标投标研究分会颁发的“全国招标代理机构诚信先进单位”证书的得5分。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201</w:t>
            </w:r>
            <w:r>
              <w:rPr>
                <w:rFonts w:hint="eastAsia" w:asciiTheme="minorEastAsia" w:hAnsiTheme="minorEastAsia" w:eastAsiaTheme="minorEastAsia"/>
                <w:sz w:val="24"/>
                <w:szCs w:val="24"/>
                <w:highlight w:val="none"/>
              </w:rPr>
              <w:t>6年</w:t>
            </w:r>
            <w:r>
              <w:rPr>
                <w:rFonts w:asciiTheme="minorEastAsia" w:hAnsiTheme="minorEastAsia" w:eastAsiaTheme="minorEastAsia"/>
                <w:sz w:val="24"/>
                <w:szCs w:val="24"/>
                <w:highlight w:val="none"/>
              </w:rPr>
              <w:t>1月1日以来（以证书落款日期为准）获得过</w:t>
            </w:r>
            <w:r>
              <w:rPr>
                <w:rFonts w:hint="eastAsia" w:asciiTheme="minorEastAsia" w:hAnsiTheme="minorEastAsia" w:eastAsiaTheme="minorEastAsia"/>
                <w:sz w:val="24"/>
                <w:szCs w:val="24"/>
                <w:highlight w:val="none"/>
              </w:rPr>
              <w:t>中国招标投标协会颁发的企业信用等级在</w:t>
            </w:r>
            <w:r>
              <w:rPr>
                <w:rFonts w:asciiTheme="minorEastAsia" w:hAnsiTheme="minorEastAsia" w:eastAsiaTheme="minorEastAsia"/>
                <w:sz w:val="24"/>
                <w:szCs w:val="24"/>
                <w:highlight w:val="none"/>
              </w:rPr>
              <w:t>A级（含）以上或诚信创优等级在A级（含）以上的</w:t>
            </w:r>
            <w:r>
              <w:rPr>
                <w:rFonts w:hint="eastAsia" w:asciiTheme="minorEastAsia" w:hAnsiTheme="minorEastAsia" w:eastAsiaTheme="minorEastAsia"/>
                <w:sz w:val="24"/>
                <w:szCs w:val="24"/>
                <w:highlight w:val="none"/>
              </w:rPr>
              <w:t>得5分</w:t>
            </w:r>
            <w:r>
              <w:rPr>
                <w:rFonts w:asciiTheme="minorEastAsia" w:hAnsiTheme="minorEastAsia" w:eastAsiaTheme="minorEastAsia"/>
                <w:sz w:val="24"/>
                <w:szCs w:val="24"/>
                <w:highlight w:val="none"/>
              </w:rPr>
              <w:t>。</w:t>
            </w:r>
          </w:p>
          <w:p>
            <w:pPr>
              <w:pStyle w:val="24"/>
              <w:tabs>
                <w:tab w:val="left" w:pos="735"/>
              </w:tabs>
              <w:ind w:firstLine="0" w:firstLine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asciiTheme="minorEastAsia" w:hAnsiTheme="minorEastAsia" w:eastAsiaTheme="minorEastAsia"/>
                <w:sz w:val="24"/>
                <w:szCs w:val="24"/>
                <w:highlight w:val="none"/>
              </w:rPr>
              <w:t>201</w:t>
            </w:r>
            <w:r>
              <w:rPr>
                <w:rFonts w:hint="eastAsia" w:asciiTheme="minorEastAsia" w:hAnsiTheme="minorEastAsia" w:eastAsiaTheme="minorEastAsia"/>
                <w:sz w:val="24"/>
                <w:szCs w:val="24"/>
                <w:highlight w:val="none"/>
              </w:rPr>
              <w:t>6</w:t>
            </w:r>
            <w:r>
              <w:rPr>
                <w:rFonts w:asciiTheme="minorEastAsia" w:hAnsiTheme="minorEastAsia" w:eastAsiaTheme="minorEastAsia"/>
                <w:sz w:val="24"/>
                <w:szCs w:val="24"/>
                <w:highlight w:val="none"/>
              </w:rPr>
              <w:t>年1</w:t>
            </w:r>
            <w:r>
              <w:rPr>
                <w:rFonts w:hint="eastAsia" w:asciiTheme="minorEastAsia" w:hAnsiTheme="minorEastAsia" w:eastAsiaTheme="minorEastAsia"/>
                <w:sz w:val="24"/>
                <w:szCs w:val="24"/>
                <w:highlight w:val="none"/>
              </w:rPr>
              <w:t>月</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日以来（以证书落款日期为准）荣获由中国采购与招标网、中国名企排行联合网颁发的中国招标代理优质服务奖（★★★★★）的，得</w:t>
            </w:r>
            <w:r>
              <w:rPr>
                <w:rFonts w:asciiTheme="minorEastAsia" w:hAnsiTheme="minorEastAsia" w:eastAsiaTheme="minorEastAsia"/>
                <w:sz w:val="24"/>
                <w:szCs w:val="24"/>
                <w:highlight w:val="none"/>
              </w:rPr>
              <w:t>5分。</w:t>
            </w:r>
          </w:p>
          <w:p>
            <w:pPr>
              <w:pStyle w:val="24"/>
              <w:tabs>
                <w:tab w:val="left" w:pos="735"/>
              </w:tabs>
              <w:ind w:firstLine="0" w:firstLine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asciiTheme="minorEastAsia" w:hAnsiTheme="minorEastAsia" w:eastAsiaTheme="minorEastAsia"/>
                <w:sz w:val="24"/>
                <w:szCs w:val="24"/>
                <w:highlight w:val="none"/>
              </w:rPr>
              <w:t>201</w:t>
            </w:r>
            <w:r>
              <w:rPr>
                <w:rFonts w:hint="eastAsia" w:asciiTheme="minorEastAsia" w:hAnsiTheme="minorEastAsia" w:eastAsiaTheme="minorEastAsia"/>
                <w:sz w:val="24"/>
                <w:szCs w:val="24"/>
                <w:highlight w:val="none"/>
              </w:rPr>
              <w:t>6</w:t>
            </w:r>
            <w:r>
              <w:rPr>
                <w:rFonts w:asciiTheme="minorEastAsia" w:hAnsiTheme="minorEastAsia" w:eastAsiaTheme="minorEastAsia"/>
                <w:sz w:val="24"/>
                <w:szCs w:val="24"/>
                <w:highlight w:val="none"/>
              </w:rPr>
              <w:t>年1</w:t>
            </w:r>
            <w:r>
              <w:rPr>
                <w:rFonts w:hint="eastAsia" w:asciiTheme="minorEastAsia" w:hAnsiTheme="minorEastAsia" w:eastAsiaTheme="minorEastAsia"/>
                <w:sz w:val="24"/>
                <w:szCs w:val="24"/>
                <w:highlight w:val="none"/>
              </w:rPr>
              <w:t>月</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日以来（以证书落款日期为准）获得过省级“双满意工程招标代理机构”或其他省类似省级优质服务奖（省级招标投标协会或省级建设行政主管部门颁发）的得</w:t>
            </w: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分。</w:t>
            </w:r>
          </w:p>
          <w:p>
            <w:pPr>
              <w:pStyle w:val="24"/>
              <w:tabs>
                <w:tab w:val="left" w:pos="735"/>
              </w:tabs>
              <w:ind w:firstLine="0" w:firstLine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r>
              <w:rPr>
                <w:rFonts w:asciiTheme="minorEastAsia" w:hAnsiTheme="minorEastAsia" w:eastAsiaTheme="minorEastAsia"/>
                <w:sz w:val="24"/>
                <w:szCs w:val="24"/>
                <w:highlight w:val="none"/>
              </w:rPr>
              <w:t>201</w:t>
            </w:r>
            <w:r>
              <w:rPr>
                <w:rFonts w:hint="eastAsia" w:asciiTheme="minorEastAsia" w:hAnsiTheme="minorEastAsia" w:eastAsiaTheme="minorEastAsia"/>
                <w:sz w:val="24"/>
                <w:szCs w:val="24"/>
                <w:highlight w:val="none"/>
              </w:rPr>
              <w:t>6</w:t>
            </w:r>
            <w:r>
              <w:rPr>
                <w:rFonts w:asciiTheme="minorEastAsia" w:hAnsiTheme="minorEastAsia" w:eastAsiaTheme="minorEastAsia"/>
                <w:sz w:val="24"/>
                <w:szCs w:val="24"/>
                <w:highlight w:val="none"/>
              </w:rPr>
              <w:t>年1月1日以来（以证书落款日期为准）获得过</w:t>
            </w:r>
            <w:r>
              <w:rPr>
                <w:rFonts w:hint="eastAsia" w:asciiTheme="minorEastAsia" w:hAnsiTheme="minorEastAsia" w:eastAsiaTheme="minorEastAsia"/>
                <w:sz w:val="24"/>
                <w:szCs w:val="24"/>
                <w:highlight w:val="none"/>
              </w:rPr>
              <w:t>由中国建设工程造价管理协会颁发的“工程造价咨询企业信用3</w:t>
            </w:r>
            <w:r>
              <w:rPr>
                <w:rFonts w:asciiTheme="minorEastAsia" w:hAnsiTheme="minorEastAsia" w:eastAsiaTheme="minorEastAsia"/>
                <w:sz w:val="24"/>
                <w:szCs w:val="24"/>
                <w:highlight w:val="none"/>
              </w:rPr>
              <w:t>A</w:t>
            </w:r>
            <w:r>
              <w:rPr>
                <w:rFonts w:hint="eastAsia" w:asciiTheme="minorEastAsia" w:hAnsiTheme="minorEastAsia" w:eastAsiaTheme="minorEastAsia"/>
                <w:sz w:val="24"/>
                <w:szCs w:val="24"/>
                <w:highlight w:val="none"/>
              </w:rPr>
              <w:t>”证书的得5分。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注：本项累计满分为20分，投标文件中须附相关证书复印件，否则不得分。</w:t>
            </w:r>
          </w:p>
        </w:tc>
        <w:tc>
          <w:tcPr>
            <w:tcW w:w="1255" w:type="dxa"/>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0-20</w:t>
            </w:r>
            <w:r>
              <w:rPr>
                <w:rFonts w:asciiTheme="minorEastAsia" w:hAnsiTheme="minorEastAsia" w:eastAsiaTheme="minorEastAsia"/>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5"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Align w:val="center"/>
          </w:tcPr>
          <w:p>
            <w:pPr>
              <w:spacing w:line="240" w:lineRule="atLeast"/>
              <w:ind w:right="53" w:rightChars="25"/>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企业荣誉</w:t>
            </w:r>
          </w:p>
        </w:tc>
        <w:tc>
          <w:tcPr>
            <w:tcW w:w="5694" w:type="dxa"/>
            <w:vAlign w:val="center"/>
          </w:tcPr>
          <w:p>
            <w:pPr>
              <w:spacing w:line="240" w:lineRule="atLeast"/>
              <w:ind w:right="53" w:rightChars="25"/>
              <w:jc w:val="left"/>
              <w:rPr>
                <w:rFonts w:asciiTheme="minorEastAsia" w:hAnsiTheme="minorEastAsia" w:eastAsiaTheme="minorEastAsia"/>
                <w:sz w:val="24"/>
                <w:szCs w:val="24"/>
                <w:highlight w:val="none"/>
              </w:rPr>
            </w:pPr>
            <w:r>
              <w:rPr>
                <w:rFonts w:hint="eastAsia" w:ascii="宋体" w:cs="宋体"/>
                <w:kern w:val="0"/>
                <w:sz w:val="24"/>
                <w:szCs w:val="24"/>
                <w:highlight w:val="none"/>
              </w:rPr>
              <w:t>企业提供其在招标或工程咨询行业所获得贡献、表彰或其他特殊亮点资料，由评标委员会横向比较，酌情打分，满分</w:t>
            </w:r>
            <w:r>
              <w:rPr>
                <w:rFonts w:hint="eastAsia" w:ascii="宋体" w:cs="宋体"/>
                <w:kern w:val="0"/>
                <w:sz w:val="24"/>
                <w:szCs w:val="24"/>
                <w:highlight w:val="none"/>
                <w:lang w:val="en-US" w:eastAsia="zh-CN"/>
              </w:rPr>
              <w:t>4</w:t>
            </w:r>
            <w:r>
              <w:rPr>
                <w:rFonts w:hint="eastAsia" w:ascii="宋体" w:cs="宋体"/>
                <w:kern w:val="0"/>
                <w:sz w:val="24"/>
                <w:szCs w:val="24"/>
                <w:highlight w:val="none"/>
              </w:rPr>
              <w:t>分。</w:t>
            </w:r>
          </w:p>
        </w:tc>
        <w:tc>
          <w:tcPr>
            <w:tcW w:w="1255" w:type="dxa"/>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lang w:val="en-US" w:eastAsia="zh-CN"/>
              </w:rPr>
              <w:t>4</w:t>
            </w:r>
            <w:r>
              <w:rPr>
                <w:rFonts w:asciiTheme="minorEastAsia" w:hAnsiTheme="minorEastAsia" w:eastAsiaTheme="minorEastAsia"/>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06"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Align w:val="center"/>
          </w:tcPr>
          <w:p>
            <w:pPr>
              <w:spacing w:line="240" w:lineRule="atLeast"/>
              <w:ind w:right="53" w:rightChars="25"/>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企业认证</w:t>
            </w:r>
          </w:p>
        </w:tc>
        <w:tc>
          <w:tcPr>
            <w:tcW w:w="5694" w:type="dxa"/>
            <w:vAlign w:val="center"/>
          </w:tcPr>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企业获得有效</w:t>
            </w:r>
            <w:r>
              <w:rPr>
                <w:rFonts w:asciiTheme="minorEastAsia" w:hAnsiTheme="minorEastAsia" w:eastAsiaTheme="minorEastAsia"/>
                <w:sz w:val="24"/>
                <w:szCs w:val="24"/>
                <w:highlight w:val="none"/>
              </w:rPr>
              <w:t>ISO</w:t>
            </w:r>
            <w:r>
              <w:rPr>
                <w:rFonts w:hint="eastAsia" w:asciiTheme="minorEastAsia" w:hAnsiTheme="minorEastAsia" w:eastAsiaTheme="minorEastAsia"/>
                <w:sz w:val="24"/>
                <w:szCs w:val="24"/>
                <w:highlight w:val="none"/>
              </w:rPr>
              <w:t>质量管理体系认证的得</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分；获得有效职业健康安全管理体系</w:t>
            </w:r>
            <w:r>
              <w:rPr>
                <w:rFonts w:asciiTheme="minorEastAsia" w:hAnsiTheme="minorEastAsia" w:eastAsiaTheme="minorEastAsia"/>
                <w:sz w:val="24"/>
                <w:szCs w:val="24"/>
                <w:highlight w:val="none"/>
              </w:rPr>
              <w:t>GB/T28001</w:t>
            </w:r>
            <w:r>
              <w:rPr>
                <w:rFonts w:hint="eastAsia" w:asciiTheme="minorEastAsia" w:hAnsiTheme="minorEastAsia" w:eastAsiaTheme="minorEastAsia"/>
                <w:sz w:val="24"/>
                <w:szCs w:val="24"/>
                <w:highlight w:val="none"/>
              </w:rPr>
              <w:t>认证的得</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分；获得有效环境管理体系</w:t>
            </w:r>
            <w:r>
              <w:rPr>
                <w:rFonts w:asciiTheme="minorEastAsia" w:hAnsiTheme="minorEastAsia" w:eastAsiaTheme="minorEastAsia"/>
                <w:sz w:val="24"/>
                <w:szCs w:val="24"/>
                <w:highlight w:val="none"/>
              </w:rPr>
              <w:t>ISO14001</w:t>
            </w:r>
            <w:r>
              <w:rPr>
                <w:rFonts w:hint="eastAsia" w:asciiTheme="minorEastAsia" w:hAnsiTheme="minorEastAsia" w:eastAsiaTheme="minorEastAsia"/>
                <w:sz w:val="24"/>
                <w:szCs w:val="24"/>
                <w:highlight w:val="none"/>
              </w:rPr>
              <w:t>认证的得</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分。本项最高得</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注：投标文件中须附相关证书复印件，否则不得分。</w:t>
            </w:r>
          </w:p>
        </w:tc>
        <w:tc>
          <w:tcPr>
            <w:tcW w:w="1255" w:type="dxa"/>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29" w:hRule="atLeast"/>
        </w:trPr>
        <w:tc>
          <w:tcPr>
            <w:tcW w:w="635"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w:t>
            </w:r>
          </w:p>
        </w:tc>
        <w:tc>
          <w:tcPr>
            <w:tcW w:w="1127"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企业业绩</w:t>
            </w:r>
          </w:p>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50</w:t>
            </w:r>
            <w:r>
              <w:rPr>
                <w:rFonts w:asciiTheme="minorEastAsia" w:hAnsiTheme="minorEastAsia" w:eastAsiaTheme="minorEastAsia"/>
                <w:sz w:val="24"/>
                <w:szCs w:val="24"/>
                <w:highlight w:val="none"/>
              </w:rPr>
              <w:t>分</w:t>
            </w:r>
          </w:p>
        </w:tc>
        <w:tc>
          <w:tcPr>
            <w:tcW w:w="1067" w:type="dxa"/>
            <w:vAlign w:val="center"/>
          </w:tcPr>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招标代理业绩</w:t>
            </w:r>
          </w:p>
        </w:tc>
        <w:tc>
          <w:tcPr>
            <w:tcW w:w="5694" w:type="dxa"/>
            <w:vAlign w:val="center"/>
          </w:tcPr>
          <w:p>
            <w:pPr>
              <w:spacing w:line="240" w:lineRule="atLeast"/>
              <w:ind w:right="53" w:rightChars="25"/>
              <w:jc w:val="left"/>
              <w:rPr>
                <w:rFonts w:asciiTheme="minorEastAsia" w:hAnsiTheme="minorEastAsia" w:eastAsiaTheme="minorEastAsia"/>
                <w:sz w:val="24"/>
                <w:szCs w:val="24"/>
                <w:highlight w:val="none"/>
              </w:rPr>
            </w:pPr>
            <w:r>
              <w:rPr>
                <w:highlight w:val="none"/>
              </w:rPr>
              <w:t>1</w:t>
            </w:r>
            <w:r>
              <w:rPr>
                <w:rFonts w:hint="eastAsia" w:asciiTheme="minorEastAsia" w:hAnsiTheme="minorEastAsia" w:eastAsiaTheme="minorEastAsia"/>
                <w:sz w:val="24"/>
                <w:szCs w:val="24"/>
                <w:highlight w:val="none"/>
              </w:rPr>
              <w:t>、2016年1月1日以来每承接过一个</w:t>
            </w:r>
            <w:r>
              <w:rPr>
                <w:rFonts w:hint="eastAsia" w:asciiTheme="minorEastAsia" w:hAnsiTheme="minorEastAsia" w:eastAsiaTheme="minorEastAsia"/>
                <w:color w:val="auto"/>
                <w:sz w:val="24"/>
                <w:szCs w:val="24"/>
                <w:highlight w:val="none"/>
                <w:lang w:val="en-US" w:eastAsia="zh-CN"/>
              </w:rPr>
              <w:t>单个项目投资</w:t>
            </w:r>
            <w:r>
              <w:rPr>
                <w:rFonts w:hint="eastAsia" w:asciiTheme="minorEastAsia" w:hAnsiTheme="minorEastAsia" w:eastAsiaTheme="minorEastAsia"/>
                <w:sz w:val="24"/>
                <w:szCs w:val="24"/>
                <w:highlight w:val="none"/>
              </w:rPr>
              <w:t>金额在10000万元及以上的PPP项目招标代理的得4分，本项最高得8分。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2、2016年1月1日以来每承接过一个</w:t>
            </w:r>
            <w:r>
              <w:rPr>
                <w:rFonts w:hint="eastAsia" w:asciiTheme="minorEastAsia" w:hAnsiTheme="minorEastAsia" w:eastAsiaTheme="minorEastAsia"/>
                <w:sz w:val="24"/>
                <w:szCs w:val="24"/>
                <w:highlight w:val="none"/>
                <w:lang w:val="en-US" w:eastAsia="zh-CN"/>
              </w:rPr>
              <w:t>单个项目投资</w:t>
            </w:r>
            <w:r>
              <w:rPr>
                <w:rFonts w:hint="eastAsia" w:asciiTheme="minorEastAsia" w:hAnsiTheme="minorEastAsia" w:eastAsiaTheme="minorEastAsia"/>
                <w:sz w:val="24"/>
                <w:szCs w:val="24"/>
                <w:highlight w:val="none"/>
              </w:rPr>
              <w:t>金额在10000万元及以上的EPC项目招标代理项目的得分4分，本项最高得8分。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3、2016年1月1日以来每承接过一个</w:t>
            </w:r>
            <w:r>
              <w:rPr>
                <w:rFonts w:hint="eastAsia" w:asciiTheme="minorEastAsia" w:hAnsiTheme="minorEastAsia" w:eastAsiaTheme="minorEastAsia"/>
                <w:sz w:val="24"/>
                <w:szCs w:val="24"/>
                <w:highlight w:val="none"/>
                <w:lang w:val="en-US" w:eastAsia="zh-CN"/>
              </w:rPr>
              <w:t>单个项目投资</w:t>
            </w:r>
            <w:r>
              <w:rPr>
                <w:rFonts w:hint="eastAsia" w:asciiTheme="minorEastAsia" w:hAnsiTheme="minorEastAsia" w:eastAsiaTheme="minorEastAsia"/>
                <w:sz w:val="24"/>
                <w:szCs w:val="24"/>
                <w:highlight w:val="none"/>
              </w:rPr>
              <w:t>金额在10000万元及以上的施工总承包招标代理项目的得分4分，本项最高得8分。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4、2016年1月1日以来每承接过一个</w:t>
            </w:r>
            <w:r>
              <w:rPr>
                <w:rFonts w:hint="eastAsia" w:asciiTheme="minorEastAsia" w:hAnsiTheme="minorEastAsia" w:eastAsiaTheme="minorEastAsia"/>
                <w:sz w:val="24"/>
                <w:szCs w:val="24"/>
                <w:highlight w:val="none"/>
                <w:lang w:val="en-US" w:eastAsia="zh-CN"/>
              </w:rPr>
              <w:t>单个项目投资</w:t>
            </w:r>
            <w:r>
              <w:rPr>
                <w:rFonts w:hint="eastAsia" w:asciiTheme="minorEastAsia" w:hAnsiTheme="minorEastAsia" w:eastAsiaTheme="minorEastAsia"/>
                <w:sz w:val="24"/>
                <w:szCs w:val="24"/>
                <w:highlight w:val="none"/>
              </w:rPr>
              <w:t>金额在5000万元及以上的货物类招标代理项目的得4分，本项最高得8分。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5、2016年1月1日以来每承接过一个</w:t>
            </w:r>
            <w:r>
              <w:rPr>
                <w:rFonts w:hint="eastAsia" w:asciiTheme="minorEastAsia" w:hAnsiTheme="minorEastAsia" w:eastAsiaTheme="minorEastAsia"/>
                <w:sz w:val="24"/>
                <w:szCs w:val="24"/>
                <w:highlight w:val="none"/>
                <w:lang w:val="en-US" w:eastAsia="zh-CN"/>
              </w:rPr>
              <w:t>单个项目投资</w:t>
            </w:r>
            <w:r>
              <w:rPr>
                <w:rFonts w:hint="eastAsia" w:asciiTheme="minorEastAsia" w:hAnsiTheme="minorEastAsia" w:eastAsiaTheme="minorEastAsia"/>
                <w:sz w:val="24"/>
                <w:szCs w:val="24"/>
                <w:highlight w:val="none"/>
              </w:rPr>
              <w:t>金额在1000万元及以上的服务类招标代理项目的得4分，本项最高得8分。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注：1.投标文件中须附代理项目合同协议书、代理项目中标通知书复印件及中标公示网页截图，时间、金额以中标通知书为准，未提供不得分。</w:t>
            </w:r>
          </w:p>
          <w:p>
            <w:pPr>
              <w:spacing w:line="240" w:lineRule="atLeast"/>
              <w:ind w:right="53" w:rightChars="25"/>
              <w:jc w:val="left"/>
              <w:rPr>
                <w:rFonts w:eastAsiaTheme="minorEastAsia"/>
                <w:highlight w:val="none"/>
              </w:rPr>
            </w:pPr>
            <w:r>
              <w:rPr>
                <w:rFonts w:hint="eastAsia" w:asciiTheme="minorEastAsia" w:hAnsiTheme="minorEastAsia" w:eastAsiaTheme="minorEastAsia"/>
                <w:sz w:val="24"/>
                <w:szCs w:val="24"/>
                <w:highlight w:val="none"/>
              </w:rPr>
              <w:t>2.同一业绩不重复计分。</w:t>
            </w:r>
          </w:p>
        </w:tc>
        <w:tc>
          <w:tcPr>
            <w:tcW w:w="1255" w:type="dxa"/>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0-40</w:t>
            </w:r>
            <w:r>
              <w:rPr>
                <w:rFonts w:asciiTheme="minorEastAsia" w:hAnsiTheme="minorEastAsia" w:eastAsiaTheme="minorEastAsia"/>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4"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Align w:val="center"/>
          </w:tcPr>
          <w:p>
            <w:pPr>
              <w:spacing w:line="240" w:lineRule="atLeast"/>
              <w:ind w:right="53" w:rightChars="25"/>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造价咨询业绩</w:t>
            </w:r>
          </w:p>
        </w:tc>
        <w:tc>
          <w:tcPr>
            <w:tcW w:w="5694" w:type="dxa"/>
            <w:vAlign w:val="center"/>
          </w:tcPr>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2016年1月1日以来每承接过一个</w:t>
            </w:r>
            <w:r>
              <w:rPr>
                <w:rFonts w:hint="eastAsia" w:asciiTheme="minorEastAsia" w:hAnsiTheme="minorEastAsia" w:eastAsiaTheme="minorEastAsia"/>
                <w:sz w:val="24"/>
                <w:szCs w:val="24"/>
                <w:highlight w:val="none"/>
                <w:lang w:val="en-US" w:eastAsia="zh-CN"/>
              </w:rPr>
              <w:t>单个项目投资</w:t>
            </w:r>
            <w:r>
              <w:rPr>
                <w:rFonts w:hint="eastAsia" w:asciiTheme="minorEastAsia" w:hAnsiTheme="minorEastAsia" w:eastAsiaTheme="minorEastAsia"/>
                <w:sz w:val="24"/>
                <w:szCs w:val="24"/>
                <w:highlight w:val="none"/>
              </w:rPr>
              <w:t>金额在10000万元及以上造价咨询业务的得5分，本项最高得10分。</w:t>
            </w:r>
          </w:p>
          <w:p>
            <w:pPr>
              <w:pStyle w:val="2"/>
              <w:ind w:left="0" w:leftChars="0" w:firstLine="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注：投标文件中提供合同和造价咨询成果签章封面复印件，时间、金额以成果文件为准，未提供不得分。</w:t>
            </w:r>
          </w:p>
        </w:tc>
        <w:tc>
          <w:tcPr>
            <w:tcW w:w="1255" w:type="dxa"/>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0-10</w:t>
            </w:r>
            <w:r>
              <w:rPr>
                <w:rFonts w:asciiTheme="minorEastAsia" w:hAnsiTheme="minorEastAsia" w:eastAsiaTheme="minorEastAsia"/>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83" w:hRule="atLeast"/>
        </w:trPr>
        <w:tc>
          <w:tcPr>
            <w:tcW w:w="635"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w:t>
            </w:r>
          </w:p>
        </w:tc>
        <w:tc>
          <w:tcPr>
            <w:tcW w:w="1127"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人员素质</w:t>
            </w:r>
          </w:p>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r>
              <w:rPr>
                <w:rFonts w:asciiTheme="minorEastAsia" w:hAnsiTheme="minorEastAsia" w:eastAsiaTheme="minorEastAsia"/>
                <w:sz w:val="24"/>
                <w:szCs w:val="24"/>
                <w:highlight w:val="none"/>
              </w:rPr>
              <w:t>分</w:t>
            </w:r>
          </w:p>
        </w:tc>
        <w:tc>
          <w:tcPr>
            <w:tcW w:w="1067" w:type="dxa"/>
            <w:vAlign w:val="center"/>
          </w:tcPr>
          <w:p>
            <w:pPr>
              <w:spacing w:line="240" w:lineRule="atLeast"/>
              <w:ind w:right="53" w:rightChars="25"/>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项目负责人</w:t>
            </w:r>
          </w:p>
        </w:tc>
        <w:tc>
          <w:tcPr>
            <w:tcW w:w="5694" w:type="dxa"/>
          </w:tcPr>
          <w:p>
            <w:pPr>
              <w:spacing w:line="240" w:lineRule="atLeast"/>
              <w:ind w:right="53" w:rightChars="25"/>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1、项目负责人具有</w:t>
            </w:r>
            <w:r>
              <w:rPr>
                <w:rFonts w:hint="eastAsia" w:asciiTheme="minorEastAsia" w:hAnsiTheme="minorEastAsia" w:eastAsiaTheme="minorEastAsia"/>
                <w:sz w:val="24"/>
                <w:szCs w:val="24"/>
                <w:highlight w:val="none"/>
              </w:rPr>
              <w:t>一级</w:t>
            </w:r>
            <w:r>
              <w:rPr>
                <w:rFonts w:asciiTheme="minorEastAsia" w:hAnsiTheme="minorEastAsia" w:eastAsiaTheme="minorEastAsia"/>
                <w:sz w:val="24"/>
                <w:szCs w:val="24"/>
                <w:highlight w:val="none"/>
              </w:rPr>
              <w:t>注册造价工程师资格或招标师资格</w:t>
            </w:r>
            <w:r>
              <w:rPr>
                <w:rFonts w:hint="eastAsia" w:asciiTheme="minorEastAsia" w:hAnsiTheme="minorEastAsia" w:eastAsiaTheme="minorEastAsia"/>
                <w:sz w:val="24"/>
                <w:szCs w:val="24"/>
                <w:highlight w:val="none"/>
              </w:rPr>
              <w:t>或中级及以上招采人员资格</w:t>
            </w:r>
            <w:r>
              <w:rPr>
                <w:rFonts w:asciiTheme="minorEastAsia" w:hAnsiTheme="minorEastAsia" w:eastAsiaTheme="minorEastAsia"/>
                <w:sz w:val="24"/>
                <w:szCs w:val="24"/>
                <w:highlight w:val="none"/>
              </w:rPr>
              <w:t>的得</w:t>
            </w: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、项目负责人具有高级工程师的得1分。</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注：投标文件中须附相关证书复印件，否则不得分。</w:t>
            </w:r>
          </w:p>
        </w:tc>
        <w:tc>
          <w:tcPr>
            <w:tcW w:w="1255" w:type="dxa"/>
            <w:vAlign w:val="center"/>
          </w:tcPr>
          <w:p>
            <w:pPr>
              <w:spacing w:line="240" w:lineRule="atLeast"/>
              <w:ind w:right="53" w:rightChars="25"/>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0-3</w:t>
            </w:r>
            <w:r>
              <w:rPr>
                <w:rFonts w:asciiTheme="minorEastAsia" w:hAnsiTheme="minorEastAsia" w:eastAsiaTheme="minorEastAsia"/>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18"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专业人员</w:t>
            </w:r>
          </w:p>
        </w:tc>
        <w:tc>
          <w:tcPr>
            <w:tcW w:w="5694" w:type="dxa"/>
            <w:vAlign w:val="center"/>
          </w:tcPr>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1、拟派的专业人员满足招标文件规定的最低标准得基本分2分</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不满足要求的不得分且不得被推荐</w:t>
            </w:r>
            <w:r>
              <w:rPr>
                <w:rFonts w:hint="eastAsia" w:asciiTheme="minorEastAsia" w:hAnsiTheme="minorEastAsia" w:eastAsiaTheme="minorEastAsia"/>
                <w:sz w:val="24"/>
                <w:szCs w:val="24"/>
                <w:highlight w:val="none"/>
                <w:lang w:val="en-US" w:eastAsia="zh-CN"/>
              </w:rPr>
              <w:t>为合作供应商</w:t>
            </w:r>
            <w:r>
              <w:rPr>
                <w:rFonts w:hint="eastAsia" w:asciiTheme="minorEastAsia" w:hAnsiTheme="minorEastAsia" w:eastAsiaTheme="minorEastAsia"/>
                <w:sz w:val="24"/>
                <w:szCs w:val="24"/>
                <w:highlight w:val="none"/>
              </w:rPr>
              <w:t>。</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人员配备最低标准（不含项目负责人）：本项目要求至少配备3名中级及以上职称专业人员。</w:t>
            </w:r>
          </w:p>
          <w:p>
            <w:pPr>
              <w:spacing w:line="240" w:lineRule="atLeast"/>
              <w:ind w:right="53" w:rightChars="25"/>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注：投标文件中须附专业人员职称证书、资格证书</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身份证、社保证明</w:t>
            </w:r>
            <w:r>
              <w:rPr>
                <w:rFonts w:hint="eastAsia" w:asciiTheme="minorEastAsia" w:hAnsiTheme="minorEastAsia" w:eastAsiaTheme="minorEastAsia"/>
                <w:sz w:val="24"/>
                <w:szCs w:val="24"/>
                <w:highlight w:val="none"/>
              </w:rPr>
              <w:t>复印件，否则不得分。</w:t>
            </w:r>
          </w:p>
        </w:tc>
        <w:tc>
          <w:tcPr>
            <w:tcW w:w="1255" w:type="dxa"/>
            <w:vAlign w:val="center"/>
          </w:tcPr>
          <w:p>
            <w:pPr>
              <w:spacing w:line="240" w:lineRule="atLeast"/>
              <w:ind w:right="53" w:rightChars="25"/>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0-2</w:t>
            </w:r>
            <w:r>
              <w:rPr>
                <w:rFonts w:asciiTheme="minorEastAsia" w:hAnsiTheme="minorEastAsia" w:eastAsiaTheme="minorEastAsia"/>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635"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四</w:t>
            </w:r>
          </w:p>
        </w:tc>
        <w:tc>
          <w:tcPr>
            <w:tcW w:w="1127"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咨询服务方案15分</w:t>
            </w:r>
          </w:p>
        </w:tc>
        <w:tc>
          <w:tcPr>
            <w:tcW w:w="1067" w:type="dxa"/>
            <w:vAlign w:val="center"/>
          </w:tcPr>
          <w:p>
            <w:pPr>
              <w:spacing w:line="240" w:lineRule="atLeast"/>
              <w:jc w:val="center"/>
              <w:rPr>
                <w:rFonts w:asciiTheme="minorEastAsia" w:hAnsiTheme="minorEastAsia" w:eastAsiaTheme="minorEastAsia"/>
                <w:b/>
                <w:bCs/>
                <w:sz w:val="24"/>
                <w:szCs w:val="24"/>
                <w:highlight w:val="none"/>
              </w:rPr>
            </w:pPr>
            <w:r>
              <w:rPr>
                <w:rFonts w:hint="eastAsia" w:ascii="宋体" w:hAnsi="宋体" w:cs="宋体"/>
                <w:kern w:val="0"/>
                <w:sz w:val="24"/>
                <w:szCs w:val="24"/>
                <w:highlight w:val="none"/>
              </w:rPr>
              <w:t>工作制度</w:t>
            </w:r>
          </w:p>
        </w:tc>
        <w:tc>
          <w:tcPr>
            <w:tcW w:w="5694" w:type="dxa"/>
            <w:vAlign w:val="center"/>
          </w:tcPr>
          <w:p>
            <w:pPr>
              <w:widowControl/>
              <w:spacing w:line="340" w:lineRule="exact"/>
              <w:jc w:val="left"/>
              <w:rPr>
                <w:rFonts w:cs="宋体" w:asciiTheme="minorEastAsia" w:hAnsiTheme="minorEastAsia" w:eastAsiaTheme="minorEastAsia"/>
                <w:kern w:val="0"/>
                <w:sz w:val="24"/>
                <w:szCs w:val="24"/>
                <w:highlight w:val="none"/>
              </w:rPr>
            </w:pPr>
            <w:r>
              <w:rPr>
                <w:rFonts w:hint="eastAsia" w:ascii="宋体" w:hAnsi="宋体" w:cs="宋体"/>
                <w:kern w:val="0"/>
                <w:sz w:val="24"/>
                <w:szCs w:val="24"/>
                <w:highlight w:val="none"/>
              </w:rPr>
              <w:t>对投标人咨询服务工作制度内容、可行性由评委对比评价评审，优得</w:t>
            </w:r>
            <w:r>
              <w:rPr>
                <w:rFonts w:ascii="宋体" w:hAnsi="宋体" w:cs="宋体"/>
                <w:kern w:val="0"/>
                <w:sz w:val="24"/>
                <w:szCs w:val="24"/>
                <w:highlight w:val="none"/>
              </w:rPr>
              <w:t>3</w:t>
            </w:r>
            <w:r>
              <w:rPr>
                <w:rFonts w:hint="eastAsia" w:ascii="宋体" w:hAnsi="宋体" w:cs="宋体"/>
                <w:kern w:val="0"/>
                <w:sz w:val="24"/>
                <w:szCs w:val="24"/>
                <w:highlight w:val="none"/>
              </w:rPr>
              <w:t>分、良得</w:t>
            </w:r>
            <w:r>
              <w:rPr>
                <w:rFonts w:ascii="宋体" w:hAnsi="宋体" w:cs="宋体"/>
                <w:kern w:val="0"/>
                <w:sz w:val="24"/>
                <w:szCs w:val="24"/>
                <w:highlight w:val="none"/>
              </w:rPr>
              <w:t>2</w:t>
            </w:r>
            <w:r>
              <w:rPr>
                <w:rFonts w:hint="eastAsia" w:ascii="宋体" w:hAnsi="宋体" w:cs="宋体"/>
                <w:kern w:val="0"/>
                <w:sz w:val="24"/>
                <w:szCs w:val="24"/>
                <w:highlight w:val="none"/>
              </w:rPr>
              <w:t>分，一般得</w:t>
            </w:r>
            <w:r>
              <w:rPr>
                <w:rFonts w:ascii="宋体" w:hAnsi="宋体" w:cs="宋体"/>
                <w:kern w:val="0"/>
                <w:sz w:val="24"/>
                <w:szCs w:val="24"/>
                <w:highlight w:val="none"/>
              </w:rPr>
              <w:t>1</w:t>
            </w:r>
            <w:r>
              <w:rPr>
                <w:rFonts w:hint="eastAsia" w:ascii="宋体" w:hAnsi="宋体" w:cs="宋体"/>
                <w:kern w:val="0"/>
                <w:sz w:val="24"/>
                <w:szCs w:val="24"/>
                <w:highlight w:val="none"/>
              </w:rPr>
              <w:t>分。未提供不得分。</w:t>
            </w:r>
          </w:p>
        </w:tc>
        <w:tc>
          <w:tcPr>
            <w:tcW w:w="1255" w:type="dxa"/>
            <w:vAlign w:val="center"/>
          </w:tcPr>
          <w:p>
            <w:pPr>
              <w:spacing w:line="240" w:lineRule="atLeast"/>
              <w:jc w:val="center"/>
              <w:rPr>
                <w:rFonts w:asciiTheme="minorEastAsia" w:hAnsiTheme="minorEastAsia" w:eastAsiaTheme="minorEastAsia"/>
                <w:sz w:val="24"/>
                <w:szCs w:val="24"/>
                <w:highlight w:val="none"/>
              </w:rPr>
            </w:pPr>
            <w:r>
              <w:rPr>
                <w:rFonts w:ascii="宋体" w:hAnsi="宋体" w:cs="宋体"/>
                <w:kern w:val="0"/>
                <w:sz w:val="24"/>
                <w:szCs w:val="24"/>
                <w:highlight w:val="none"/>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Merge w:val="restart"/>
            <w:vAlign w:val="center"/>
          </w:tcPr>
          <w:p>
            <w:pPr>
              <w:spacing w:line="240" w:lineRule="atLeas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服务方案</w:t>
            </w:r>
          </w:p>
        </w:tc>
        <w:tc>
          <w:tcPr>
            <w:tcW w:w="5694" w:type="dxa"/>
          </w:tcPr>
          <w:p>
            <w:pPr>
              <w:widowControl/>
              <w:spacing w:line="340" w:lineRule="exact"/>
              <w:rPr>
                <w:rFonts w:cs="宋体" w:asciiTheme="minorEastAsia" w:hAnsiTheme="minorEastAsia" w:eastAsiaTheme="minorEastAsia"/>
                <w:kern w:val="0"/>
                <w:sz w:val="24"/>
                <w:szCs w:val="24"/>
                <w:highlight w:val="none"/>
              </w:rPr>
            </w:pPr>
            <w:r>
              <w:rPr>
                <w:rFonts w:hint="eastAsia" w:ascii="宋体" w:hAnsi="宋体" w:cs="宋体"/>
                <w:kern w:val="0"/>
                <w:sz w:val="24"/>
                <w:szCs w:val="24"/>
                <w:highlight w:val="none"/>
              </w:rPr>
              <w:t>提供符合招标文件要求的招标代理及造价咨询服务方案中人员安排、分工及责任由评委对比评价评审。优得3分、良得2分，一般得</w:t>
            </w:r>
            <w:r>
              <w:rPr>
                <w:rFonts w:ascii="宋体" w:hAnsi="宋体" w:cs="宋体"/>
                <w:kern w:val="0"/>
                <w:sz w:val="24"/>
                <w:szCs w:val="24"/>
                <w:highlight w:val="none"/>
              </w:rPr>
              <w:t>1</w:t>
            </w:r>
            <w:r>
              <w:rPr>
                <w:rFonts w:hint="eastAsia" w:ascii="宋体" w:hAnsi="宋体" w:cs="宋体"/>
                <w:kern w:val="0"/>
                <w:sz w:val="24"/>
                <w:szCs w:val="24"/>
                <w:highlight w:val="none"/>
              </w:rPr>
              <w:t>分。未提供不得分。</w:t>
            </w:r>
          </w:p>
        </w:tc>
        <w:tc>
          <w:tcPr>
            <w:tcW w:w="1255" w:type="dxa"/>
            <w:vAlign w:val="center"/>
          </w:tcPr>
          <w:p>
            <w:pPr>
              <w:spacing w:line="240" w:lineRule="atLeast"/>
              <w:jc w:val="center"/>
              <w:rPr>
                <w:rFonts w:asciiTheme="minorEastAsia" w:hAnsiTheme="minorEastAsia"/>
                <w:sz w:val="24"/>
                <w:szCs w:val="24"/>
                <w:highlight w:val="none"/>
              </w:rPr>
            </w:pPr>
            <w:r>
              <w:rPr>
                <w:rFonts w:ascii="宋体" w:hAnsi="宋体" w:cs="宋体"/>
                <w:kern w:val="0"/>
                <w:sz w:val="24"/>
                <w:szCs w:val="24"/>
                <w:highlight w:val="none"/>
              </w:rPr>
              <w:t>0-</w:t>
            </w:r>
            <w:r>
              <w:rPr>
                <w:rFonts w:hint="eastAsia" w:ascii="宋体" w:hAnsi="宋体" w:cs="宋体"/>
                <w:kern w:val="0"/>
                <w:sz w:val="24"/>
                <w:szCs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5694" w:type="dxa"/>
          </w:tcPr>
          <w:p>
            <w:pPr>
              <w:widowControl/>
              <w:spacing w:line="340" w:lineRule="exact"/>
              <w:rPr>
                <w:rFonts w:cs="宋体" w:asciiTheme="minorEastAsia" w:hAnsiTheme="minorEastAsia" w:eastAsiaTheme="minorEastAsia"/>
                <w:kern w:val="0"/>
                <w:sz w:val="24"/>
                <w:szCs w:val="24"/>
                <w:highlight w:val="none"/>
              </w:rPr>
            </w:pPr>
            <w:r>
              <w:rPr>
                <w:rFonts w:hint="eastAsia" w:ascii="宋体" w:hAnsi="宋体" w:cs="宋体"/>
                <w:kern w:val="0"/>
                <w:sz w:val="24"/>
                <w:szCs w:val="24"/>
                <w:highlight w:val="none"/>
              </w:rPr>
              <w:t>提供符合招标文件要求的工程招标代理及造价咨询服务方案中质量、程序、方法由评委对比评价评审。优得3分、良得</w:t>
            </w:r>
            <w:r>
              <w:rPr>
                <w:rFonts w:ascii="宋体" w:hAnsi="宋体" w:cs="宋体"/>
                <w:kern w:val="0"/>
                <w:sz w:val="24"/>
                <w:szCs w:val="24"/>
                <w:highlight w:val="none"/>
              </w:rPr>
              <w:t>2</w:t>
            </w:r>
            <w:r>
              <w:rPr>
                <w:rFonts w:hint="eastAsia" w:ascii="宋体" w:hAnsi="宋体" w:cs="宋体"/>
                <w:kern w:val="0"/>
                <w:sz w:val="24"/>
                <w:szCs w:val="24"/>
                <w:highlight w:val="none"/>
              </w:rPr>
              <w:t>分，一般得</w:t>
            </w:r>
            <w:r>
              <w:rPr>
                <w:rFonts w:ascii="宋体" w:hAnsi="宋体" w:cs="宋体"/>
                <w:kern w:val="0"/>
                <w:sz w:val="24"/>
                <w:szCs w:val="24"/>
                <w:highlight w:val="none"/>
              </w:rPr>
              <w:t>1</w:t>
            </w:r>
            <w:r>
              <w:rPr>
                <w:rFonts w:hint="eastAsia" w:ascii="宋体" w:hAnsi="宋体" w:cs="宋体"/>
                <w:kern w:val="0"/>
                <w:sz w:val="24"/>
                <w:szCs w:val="24"/>
                <w:highlight w:val="none"/>
              </w:rPr>
              <w:t>分。未提供不得分。</w:t>
            </w:r>
          </w:p>
        </w:tc>
        <w:tc>
          <w:tcPr>
            <w:tcW w:w="1255" w:type="dxa"/>
            <w:vAlign w:val="center"/>
          </w:tcPr>
          <w:p>
            <w:pPr>
              <w:spacing w:line="240" w:lineRule="atLeast"/>
              <w:jc w:val="center"/>
              <w:rPr>
                <w:rFonts w:asciiTheme="minorEastAsia" w:hAnsiTheme="minorEastAsia"/>
                <w:sz w:val="24"/>
                <w:szCs w:val="24"/>
                <w:highlight w:val="none"/>
              </w:rPr>
            </w:pPr>
            <w:r>
              <w:rPr>
                <w:rFonts w:ascii="宋体" w:hAnsi="宋体" w:cs="宋体"/>
                <w:kern w:val="0"/>
                <w:sz w:val="24"/>
                <w:szCs w:val="24"/>
                <w:highlight w:val="none"/>
              </w:rPr>
              <w:t>0-</w:t>
            </w:r>
            <w:r>
              <w:rPr>
                <w:rFonts w:hint="eastAsia" w:ascii="宋体" w:hAnsi="宋体" w:cs="宋体"/>
                <w:kern w:val="0"/>
                <w:sz w:val="24"/>
                <w:szCs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5694" w:type="dxa"/>
          </w:tcPr>
          <w:p>
            <w:pPr>
              <w:widowControl/>
              <w:spacing w:line="340" w:lineRule="exact"/>
              <w:jc w:val="left"/>
              <w:rPr>
                <w:rFonts w:cs="宋体" w:asciiTheme="minorEastAsia" w:hAnsiTheme="minorEastAsia" w:eastAsiaTheme="minorEastAsia"/>
                <w:kern w:val="0"/>
                <w:sz w:val="24"/>
                <w:szCs w:val="24"/>
                <w:highlight w:val="none"/>
              </w:rPr>
            </w:pPr>
            <w:r>
              <w:rPr>
                <w:rFonts w:hint="eastAsia" w:ascii="宋体" w:hAnsi="宋体" w:cs="宋体"/>
                <w:kern w:val="0"/>
                <w:sz w:val="24"/>
                <w:szCs w:val="24"/>
                <w:highlight w:val="none"/>
              </w:rPr>
              <w:t>提供符合招标文件要求的进度控制计划及措施由评委对比评价评审。优得</w:t>
            </w:r>
            <w:r>
              <w:rPr>
                <w:rFonts w:ascii="宋体" w:hAnsi="宋体" w:cs="宋体"/>
                <w:kern w:val="0"/>
                <w:sz w:val="24"/>
                <w:szCs w:val="24"/>
                <w:highlight w:val="none"/>
              </w:rPr>
              <w:t>3</w:t>
            </w:r>
            <w:r>
              <w:rPr>
                <w:rFonts w:hint="eastAsia" w:ascii="宋体" w:hAnsi="宋体" w:cs="宋体"/>
                <w:kern w:val="0"/>
                <w:sz w:val="24"/>
                <w:szCs w:val="24"/>
                <w:highlight w:val="none"/>
              </w:rPr>
              <w:t>分、良得</w:t>
            </w:r>
            <w:r>
              <w:rPr>
                <w:rFonts w:ascii="宋体" w:hAnsi="宋体" w:cs="宋体"/>
                <w:kern w:val="0"/>
                <w:sz w:val="24"/>
                <w:szCs w:val="24"/>
                <w:highlight w:val="none"/>
              </w:rPr>
              <w:t>2</w:t>
            </w:r>
            <w:r>
              <w:rPr>
                <w:rFonts w:hint="eastAsia" w:ascii="宋体" w:hAnsi="宋体" w:cs="宋体"/>
                <w:kern w:val="0"/>
                <w:sz w:val="24"/>
                <w:szCs w:val="24"/>
                <w:highlight w:val="none"/>
              </w:rPr>
              <w:t>分，一般得</w:t>
            </w:r>
            <w:r>
              <w:rPr>
                <w:rFonts w:ascii="宋体" w:hAnsi="宋体" w:cs="宋体"/>
                <w:kern w:val="0"/>
                <w:sz w:val="24"/>
                <w:szCs w:val="24"/>
                <w:highlight w:val="none"/>
              </w:rPr>
              <w:t>1</w:t>
            </w:r>
            <w:r>
              <w:rPr>
                <w:rFonts w:hint="eastAsia" w:ascii="宋体" w:hAnsi="宋体" w:cs="宋体"/>
                <w:kern w:val="0"/>
                <w:sz w:val="24"/>
                <w:szCs w:val="24"/>
                <w:highlight w:val="none"/>
              </w:rPr>
              <w:t>分。未提供不得分。</w:t>
            </w:r>
          </w:p>
        </w:tc>
        <w:tc>
          <w:tcPr>
            <w:tcW w:w="1255" w:type="dxa"/>
            <w:vAlign w:val="center"/>
          </w:tcPr>
          <w:p>
            <w:pPr>
              <w:spacing w:line="240" w:lineRule="atLeast"/>
              <w:jc w:val="center"/>
              <w:rPr>
                <w:rFonts w:asciiTheme="minorEastAsia" w:hAnsiTheme="minorEastAsia" w:eastAsiaTheme="minorEastAsia"/>
                <w:sz w:val="24"/>
                <w:szCs w:val="24"/>
                <w:highlight w:val="none"/>
              </w:rPr>
            </w:pPr>
            <w:r>
              <w:rPr>
                <w:rFonts w:ascii="宋体" w:hAnsi="宋体" w:cs="宋体"/>
                <w:kern w:val="0"/>
                <w:sz w:val="24"/>
                <w:szCs w:val="24"/>
                <w:highlight w:val="none"/>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635"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127" w:type="dxa"/>
            <w:vMerge w:val="continue"/>
            <w:vAlign w:val="center"/>
          </w:tcPr>
          <w:p>
            <w:pPr>
              <w:spacing w:line="240" w:lineRule="atLeast"/>
              <w:jc w:val="center"/>
              <w:rPr>
                <w:rFonts w:asciiTheme="minorEastAsia" w:hAnsiTheme="minorEastAsia" w:eastAsiaTheme="minorEastAsia"/>
                <w:sz w:val="24"/>
                <w:szCs w:val="24"/>
                <w:highlight w:val="none"/>
              </w:rPr>
            </w:pPr>
          </w:p>
        </w:tc>
        <w:tc>
          <w:tcPr>
            <w:tcW w:w="1067" w:type="dxa"/>
            <w:vAlign w:val="center"/>
          </w:tcPr>
          <w:p>
            <w:pPr>
              <w:spacing w:line="240" w:lineRule="atLeast"/>
              <w:jc w:val="center"/>
              <w:rPr>
                <w:rFonts w:asciiTheme="minorEastAsia" w:hAnsiTheme="minorEastAsia" w:eastAsiaTheme="minorEastAsia"/>
                <w:sz w:val="24"/>
                <w:szCs w:val="24"/>
                <w:highlight w:val="none"/>
              </w:rPr>
            </w:pPr>
            <w:r>
              <w:rPr>
                <w:rFonts w:hint="eastAsia" w:ascii="宋体" w:hAnsi="宋体"/>
                <w:sz w:val="24"/>
                <w:szCs w:val="24"/>
                <w:highlight w:val="none"/>
              </w:rPr>
              <w:t>业务档案</w:t>
            </w:r>
          </w:p>
        </w:tc>
        <w:tc>
          <w:tcPr>
            <w:tcW w:w="5694" w:type="dxa"/>
          </w:tcPr>
          <w:p>
            <w:pPr>
              <w:widowControl/>
              <w:spacing w:line="340" w:lineRule="exact"/>
              <w:jc w:val="left"/>
              <w:rPr>
                <w:rFonts w:cs="宋体" w:asciiTheme="minorEastAsia" w:hAnsiTheme="minorEastAsia" w:eastAsiaTheme="minorEastAsia"/>
                <w:kern w:val="0"/>
                <w:sz w:val="24"/>
                <w:szCs w:val="24"/>
                <w:highlight w:val="none"/>
              </w:rPr>
            </w:pPr>
            <w:r>
              <w:rPr>
                <w:rFonts w:hint="eastAsia" w:ascii="宋体" w:hAnsi="宋体" w:cs="宋体"/>
                <w:kern w:val="0"/>
                <w:sz w:val="24"/>
                <w:szCs w:val="24"/>
                <w:highlight w:val="none"/>
              </w:rPr>
              <w:t>对投标人招标代理业务档案管理工作制度内容、可行性由评委对比评价评审。优得3分、良得2分，一般得</w:t>
            </w:r>
            <w:r>
              <w:rPr>
                <w:rFonts w:ascii="宋体" w:hAnsi="宋体" w:cs="宋体"/>
                <w:kern w:val="0"/>
                <w:sz w:val="24"/>
                <w:szCs w:val="24"/>
                <w:highlight w:val="none"/>
              </w:rPr>
              <w:t>1</w:t>
            </w:r>
            <w:r>
              <w:rPr>
                <w:rFonts w:hint="eastAsia" w:ascii="宋体" w:hAnsi="宋体" w:cs="宋体"/>
                <w:kern w:val="0"/>
                <w:sz w:val="24"/>
                <w:szCs w:val="24"/>
                <w:highlight w:val="none"/>
              </w:rPr>
              <w:t>分。未提供不得分。</w:t>
            </w:r>
          </w:p>
        </w:tc>
        <w:tc>
          <w:tcPr>
            <w:tcW w:w="1255" w:type="dxa"/>
            <w:vAlign w:val="center"/>
          </w:tcPr>
          <w:p>
            <w:pPr>
              <w:spacing w:line="240" w:lineRule="atLeast"/>
              <w:jc w:val="center"/>
              <w:rPr>
                <w:rFonts w:asciiTheme="minorEastAsia" w:hAnsiTheme="minorEastAsia"/>
                <w:sz w:val="24"/>
                <w:szCs w:val="24"/>
                <w:highlight w:val="none"/>
              </w:rPr>
            </w:pPr>
            <w:r>
              <w:rPr>
                <w:rFonts w:ascii="宋体" w:hAnsi="宋体" w:cs="宋体"/>
                <w:kern w:val="0"/>
                <w:sz w:val="24"/>
                <w:szCs w:val="24"/>
                <w:highlight w:val="none"/>
              </w:rPr>
              <w:t>0-</w:t>
            </w:r>
            <w:r>
              <w:rPr>
                <w:rFonts w:hint="eastAsia" w:ascii="宋体" w:hAnsi="宋体" w:cs="宋体"/>
                <w:kern w:val="0"/>
                <w:sz w:val="24"/>
                <w:szCs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8523" w:type="dxa"/>
            <w:gridSpan w:val="4"/>
            <w:vAlign w:val="center"/>
          </w:tcPr>
          <w:p>
            <w:pPr>
              <w:spacing w:line="240" w:lineRule="atLeast"/>
              <w:ind w:firstLine="480" w:firstLineChars="20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计</w:t>
            </w:r>
          </w:p>
        </w:tc>
        <w:tc>
          <w:tcPr>
            <w:tcW w:w="1255" w:type="dxa"/>
            <w:vAlign w:val="center"/>
          </w:tcPr>
          <w:p>
            <w:pPr>
              <w:spacing w:line="240" w:lineRule="atLeast"/>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9778" w:type="dxa"/>
            <w:gridSpan w:val="5"/>
            <w:vAlign w:val="center"/>
          </w:tcPr>
          <w:p>
            <w:pPr>
              <w:spacing w:line="380" w:lineRule="exact"/>
              <w:jc w:val="left"/>
            </w:pPr>
            <w:r>
              <w:rPr>
                <w:rFonts w:hint="eastAsia"/>
              </w:rPr>
              <w:t>说明：</w:t>
            </w:r>
          </w:p>
          <w:p>
            <w:pPr>
              <w:spacing w:line="380" w:lineRule="exact"/>
              <w:jc w:val="left"/>
              <w:rPr>
                <w:rFonts w:hint="eastAsia"/>
              </w:rPr>
            </w:pPr>
            <w:r>
              <w:rPr>
                <w:rFonts w:hint="eastAsia"/>
              </w:rPr>
              <w:t>⑴为便于评标：请各投标人投标时根据项目评分表的评标标准顺序、评标索引表格式（详见第六章投标文件格式）列出各评审项所在页码范围及自评结果，评标现场如发现投标文件中未附评标索引表者，视为没有提供招标文件所要求的全部资料，可能导致其投标无效。</w:t>
            </w:r>
          </w:p>
          <w:p>
            <w:pPr>
              <w:spacing w:line="380" w:lineRule="exact"/>
              <w:jc w:val="left"/>
              <w:rPr>
                <w:rFonts w:hint="eastAsia"/>
              </w:rPr>
            </w:pPr>
            <w:r>
              <w:rPr>
                <w:rFonts w:hint="eastAsia"/>
              </w:rPr>
              <w:t>⑵各投标人得分：</w:t>
            </w:r>
            <w:r>
              <w:rPr>
                <w:rFonts w:hint="eastAsia"/>
                <w:lang w:val="en-US" w:eastAsia="zh-CN"/>
              </w:rPr>
              <w:t>所有评委评分分值</w:t>
            </w:r>
            <w:r>
              <w:rPr>
                <w:rFonts w:hint="eastAsia"/>
              </w:rPr>
              <w:t>取平均值，本次评标所有评分保留小数点后二位有效数字，第三位四舍五入。</w:t>
            </w:r>
          </w:p>
          <w:p>
            <w:pPr>
              <w:spacing w:line="380" w:lineRule="exact"/>
              <w:jc w:val="left"/>
              <w:rPr>
                <w:rFonts w:hint="default" w:eastAsia="宋体"/>
                <w:lang w:val="en-US" w:eastAsia="zh-CN"/>
              </w:rPr>
            </w:pPr>
            <w:r>
              <w:rPr>
                <w:rFonts w:hint="eastAsia"/>
                <w:lang w:val="en-US" w:eastAsia="zh-CN"/>
              </w:rPr>
              <w:t>（3）“</w:t>
            </w:r>
            <w:r>
              <w:rPr>
                <w:rFonts w:hint="eastAsia"/>
              </w:rPr>
              <w:t>代理项目合同协议书</w:t>
            </w:r>
            <w:r>
              <w:rPr>
                <w:rFonts w:hint="eastAsia"/>
                <w:lang w:val="en-US" w:eastAsia="zh-CN"/>
              </w:rPr>
              <w:t>”系指本项目投标人与业主单位签署的咨询服务合同</w:t>
            </w:r>
            <w:r>
              <w:rPr>
                <w:rFonts w:hint="eastAsia"/>
                <w:lang w:eastAsia="zh-CN"/>
              </w:rPr>
              <w:t>；“</w:t>
            </w:r>
            <w:r>
              <w:rPr>
                <w:rFonts w:hint="eastAsia"/>
              </w:rPr>
              <w:t>代理项目中标通知书</w:t>
            </w:r>
            <w:r>
              <w:rPr>
                <w:rFonts w:hint="eastAsia"/>
                <w:lang w:eastAsia="zh-CN"/>
              </w:rPr>
              <w:t>”</w:t>
            </w:r>
            <w:r>
              <w:rPr>
                <w:rFonts w:hint="eastAsia"/>
                <w:lang w:val="en-US" w:eastAsia="zh-CN"/>
              </w:rPr>
              <w:t>系指本项目投标人作为咨询机构，与业主单位共同发出的所代理项目的中标通知书。</w:t>
            </w:r>
          </w:p>
        </w:tc>
      </w:tr>
    </w:tbl>
    <w:p>
      <w:pPr>
        <w:pStyle w:val="22"/>
        <w:adjustRightInd w:val="0"/>
        <w:snapToGrid w:val="0"/>
        <w:spacing w:beforeAutospacing="0" w:afterAutospacing="0" w:line="500" w:lineRule="exact"/>
        <w:ind w:firstLine="470" w:firstLineChars="196"/>
        <w:rPr>
          <w:rFonts w:hAnsi="宋体" w:cs="宋体"/>
          <w:kern w:val="2"/>
          <w:highlight w:val="none"/>
        </w:rPr>
      </w:pPr>
      <w:r>
        <w:rPr>
          <w:rFonts w:hAnsi="宋体" w:cs="宋体"/>
          <w:kern w:val="2"/>
          <w:highlight w:val="none"/>
        </w:rPr>
        <w:t>1.</w:t>
      </w:r>
      <w:r>
        <w:rPr>
          <w:rFonts w:hint="eastAsia" w:hAnsi="宋体" w:cs="宋体"/>
          <w:kern w:val="2"/>
          <w:highlight w:val="none"/>
        </w:rPr>
        <w:t>评审办法：</w:t>
      </w:r>
    </w:p>
    <w:p>
      <w:pPr>
        <w:adjustRightInd w:val="0"/>
        <w:snapToGrid w:val="0"/>
        <w:spacing w:line="500" w:lineRule="exact"/>
        <w:ind w:firstLine="482" w:firstLineChars="200"/>
        <w:rPr>
          <w:rFonts w:ascii="宋体" w:hAnsi="宋体" w:cs="宋体"/>
          <w:kern w:val="10"/>
          <w:sz w:val="24"/>
          <w:szCs w:val="24"/>
          <w:highlight w:val="none"/>
        </w:rPr>
      </w:pPr>
      <w:r>
        <w:rPr>
          <w:rFonts w:hint="eastAsia" w:ascii="宋体" w:hAnsi="宋体" w:cs="宋体"/>
          <w:b/>
          <w:bCs/>
          <w:kern w:val="10"/>
          <w:sz w:val="24"/>
          <w:szCs w:val="24"/>
          <w:highlight w:val="none"/>
        </w:rPr>
        <w:t>本次评标采用</w:t>
      </w:r>
      <w:r>
        <w:rPr>
          <w:rFonts w:hint="eastAsia" w:ascii="宋体" w:hAnsi="宋体" w:cs="宋体"/>
          <w:b/>
          <w:bCs/>
          <w:kern w:val="10"/>
          <w:sz w:val="24"/>
          <w:szCs w:val="24"/>
          <w:highlight w:val="none"/>
          <w:u w:val="single"/>
        </w:rPr>
        <w:t>综合评分</w:t>
      </w:r>
      <w:r>
        <w:rPr>
          <w:rFonts w:hint="eastAsia" w:ascii="宋体" w:hAnsi="宋体" w:cs="宋体"/>
          <w:b/>
          <w:bCs/>
          <w:kern w:val="10"/>
          <w:sz w:val="24"/>
          <w:szCs w:val="24"/>
          <w:highlight w:val="none"/>
        </w:rPr>
        <w:t>法</w:t>
      </w:r>
      <w:r>
        <w:rPr>
          <w:rFonts w:hint="eastAsia" w:ascii="宋体" w:hAnsi="宋体" w:cs="宋体"/>
          <w:kern w:val="10"/>
          <w:sz w:val="24"/>
          <w:szCs w:val="24"/>
          <w:highlight w:val="none"/>
        </w:rPr>
        <w:t>。本项目满分</w:t>
      </w:r>
      <w:r>
        <w:rPr>
          <w:rFonts w:ascii="宋体" w:hAnsi="宋体" w:cs="宋体"/>
          <w:kern w:val="10"/>
          <w:sz w:val="24"/>
          <w:szCs w:val="24"/>
          <w:highlight w:val="none"/>
        </w:rPr>
        <w:t>100</w:t>
      </w:r>
      <w:r>
        <w:rPr>
          <w:rFonts w:hint="eastAsia" w:ascii="宋体" w:hAnsi="宋体" w:cs="宋体"/>
          <w:kern w:val="10"/>
          <w:sz w:val="24"/>
          <w:szCs w:val="24"/>
          <w:highlight w:val="none"/>
        </w:rPr>
        <w:t>分，不分技术和商务。评标委员会按照评审办法规定，按顺序进行。首先按照评审办法前附表一进行初步评审，评审未通过的投标人不得进入下一步的评标。然后对评审合格的投标人的投标文件按照评分办法前附表二分别进行综合评分。评委对照评审指标要求，分别对各家投标情况进行评审、打分，并分别计分。</w:t>
      </w:r>
      <w:r>
        <w:rPr>
          <w:rFonts w:hint="eastAsia" w:ascii="宋体" w:hAnsi="宋体" w:cs="宋体"/>
          <w:sz w:val="24"/>
          <w:szCs w:val="24"/>
          <w:highlight w:val="none"/>
        </w:rPr>
        <w:t>按最终得分由高到低的顺序推荐不超过14</w:t>
      </w:r>
      <w:r>
        <w:rPr>
          <w:rFonts w:ascii="宋体" w:hAnsi="宋体" w:cs="宋体"/>
          <w:sz w:val="24"/>
          <w:szCs w:val="24"/>
          <w:highlight w:val="none"/>
        </w:rPr>
        <w:t>家投标人为中标人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8家主选供应商和6家备选供应商</w:t>
      </w:r>
      <w:r>
        <w:rPr>
          <w:rFonts w:hint="eastAsia" w:ascii="宋体" w:hAnsi="宋体" w:cs="宋体"/>
          <w:sz w:val="24"/>
          <w:szCs w:val="24"/>
          <w:highlight w:val="none"/>
          <w:lang w:eastAsia="zh-CN"/>
        </w:rPr>
        <w:t>）</w:t>
      </w:r>
      <w:r>
        <w:rPr>
          <w:rFonts w:ascii="宋体" w:hAnsi="宋体" w:cs="宋体"/>
          <w:sz w:val="24"/>
          <w:szCs w:val="24"/>
          <w:highlight w:val="none"/>
        </w:rPr>
        <w:t>，得分相同的，由招标人采取抽签方式确定前后排序，投标人的各项得分均保留小数点后两位（四舍五入）。</w:t>
      </w:r>
    </w:p>
    <w:p>
      <w:pPr>
        <w:pStyle w:val="22"/>
        <w:adjustRightInd w:val="0"/>
        <w:snapToGrid w:val="0"/>
        <w:spacing w:beforeAutospacing="0" w:afterAutospacing="0" w:line="500" w:lineRule="exact"/>
        <w:ind w:firstLine="470" w:firstLineChars="196"/>
        <w:rPr>
          <w:rFonts w:hAnsi="宋体" w:cs="宋体"/>
          <w:kern w:val="2"/>
          <w:highlight w:val="none"/>
        </w:rPr>
      </w:pPr>
      <w:r>
        <w:rPr>
          <w:rFonts w:hAnsi="宋体" w:cs="宋体"/>
          <w:kern w:val="2"/>
          <w:highlight w:val="none"/>
        </w:rPr>
        <w:t>2.</w:t>
      </w:r>
      <w:r>
        <w:rPr>
          <w:rFonts w:hint="eastAsia" w:hAnsi="宋体" w:cs="宋体"/>
          <w:kern w:val="2"/>
          <w:highlight w:val="none"/>
        </w:rPr>
        <w:t>评审标准</w:t>
      </w:r>
    </w:p>
    <w:p>
      <w:pPr>
        <w:pStyle w:val="22"/>
        <w:adjustRightInd w:val="0"/>
        <w:snapToGrid w:val="0"/>
        <w:spacing w:beforeAutospacing="0" w:afterAutospacing="0" w:line="500" w:lineRule="exact"/>
        <w:ind w:firstLine="472" w:firstLineChars="196"/>
        <w:rPr>
          <w:rFonts w:hAnsi="宋体" w:cs="宋体"/>
          <w:kern w:val="2"/>
          <w:highlight w:val="none"/>
        </w:rPr>
      </w:pPr>
      <w:r>
        <w:rPr>
          <w:rFonts w:hAnsi="宋体" w:cs="宋体"/>
          <w:b/>
          <w:kern w:val="2"/>
          <w:highlight w:val="none"/>
        </w:rPr>
        <w:t>2.1</w:t>
      </w:r>
      <w:r>
        <w:rPr>
          <w:rFonts w:hint="eastAsia" w:hAnsi="宋体" w:cs="宋体"/>
          <w:b/>
          <w:kern w:val="2"/>
          <w:highlight w:val="none"/>
        </w:rPr>
        <w:t>初步评审标准：</w:t>
      </w:r>
      <w:r>
        <w:rPr>
          <w:rFonts w:hint="eastAsia" w:hAnsi="宋体" w:cs="宋体"/>
          <w:kern w:val="2"/>
          <w:highlight w:val="none"/>
        </w:rPr>
        <w:t>详见评审办法前附表一。</w:t>
      </w:r>
    </w:p>
    <w:p>
      <w:pPr>
        <w:pStyle w:val="22"/>
        <w:adjustRightInd w:val="0"/>
        <w:snapToGrid w:val="0"/>
        <w:spacing w:beforeAutospacing="0" w:afterAutospacing="0" w:line="500" w:lineRule="exact"/>
        <w:ind w:firstLine="472" w:firstLineChars="196"/>
        <w:rPr>
          <w:rFonts w:hAnsi="宋体" w:cs="宋体"/>
          <w:kern w:val="2"/>
          <w:highlight w:val="none"/>
        </w:rPr>
      </w:pPr>
      <w:r>
        <w:rPr>
          <w:rFonts w:hAnsi="宋体" w:cs="宋体"/>
          <w:b/>
          <w:kern w:val="2"/>
          <w:highlight w:val="none"/>
        </w:rPr>
        <w:t>2.2</w:t>
      </w:r>
      <w:r>
        <w:rPr>
          <w:rFonts w:hint="eastAsia" w:hAnsi="宋体" w:cs="宋体"/>
          <w:b/>
          <w:kern w:val="2"/>
          <w:highlight w:val="none"/>
        </w:rPr>
        <w:t>综合评分标准：</w:t>
      </w:r>
      <w:r>
        <w:rPr>
          <w:rFonts w:hint="eastAsia" w:hAnsi="宋体" w:cs="宋体"/>
          <w:kern w:val="2"/>
          <w:highlight w:val="none"/>
        </w:rPr>
        <w:t>详见评审办法前附表二。</w:t>
      </w:r>
    </w:p>
    <w:p>
      <w:pPr>
        <w:pStyle w:val="22"/>
        <w:adjustRightInd w:val="0"/>
        <w:snapToGrid w:val="0"/>
        <w:spacing w:beforeAutospacing="0" w:afterAutospacing="0" w:line="500" w:lineRule="exact"/>
        <w:ind w:firstLine="470" w:firstLineChars="196"/>
        <w:rPr>
          <w:rFonts w:hAnsi="宋体" w:cs="宋体"/>
          <w:kern w:val="2"/>
          <w:highlight w:val="none"/>
        </w:rPr>
      </w:pPr>
      <w:r>
        <w:rPr>
          <w:rFonts w:hAnsi="宋体" w:cs="宋体"/>
          <w:kern w:val="2"/>
          <w:highlight w:val="none"/>
        </w:rPr>
        <w:t>3.</w:t>
      </w:r>
      <w:r>
        <w:rPr>
          <w:rFonts w:hint="eastAsia" w:hAnsi="宋体" w:cs="宋体"/>
          <w:kern w:val="2"/>
          <w:highlight w:val="none"/>
        </w:rPr>
        <w:t>评审程序</w:t>
      </w:r>
    </w:p>
    <w:p>
      <w:pPr>
        <w:adjustRightInd w:val="0"/>
        <w:snapToGrid w:val="0"/>
        <w:spacing w:line="500" w:lineRule="exact"/>
        <w:ind w:firstLine="472" w:firstLineChars="196"/>
        <w:rPr>
          <w:rFonts w:ascii="宋体" w:cs="宋体"/>
          <w:b/>
          <w:sz w:val="24"/>
          <w:szCs w:val="24"/>
          <w:highlight w:val="none"/>
        </w:rPr>
      </w:pPr>
      <w:r>
        <w:rPr>
          <w:rFonts w:ascii="宋体" w:hAnsi="宋体" w:cs="宋体"/>
          <w:b/>
          <w:sz w:val="24"/>
          <w:szCs w:val="24"/>
          <w:highlight w:val="none"/>
        </w:rPr>
        <w:t>3.1</w:t>
      </w:r>
      <w:r>
        <w:rPr>
          <w:rFonts w:hint="eastAsia" w:ascii="宋体" w:hAnsi="宋体" w:cs="宋体"/>
          <w:b/>
          <w:sz w:val="24"/>
          <w:szCs w:val="24"/>
          <w:highlight w:val="none"/>
        </w:rPr>
        <w:t>初步评审</w:t>
      </w:r>
    </w:p>
    <w:p>
      <w:pPr>
        <w:adjustRightInd w:val="0"/>
        <w:snapToGrid w:val="0"/>
        <w:spacing w:line="500" w:lineRule="exact"/>
        <w:ind w:firstLine="480" w:firstLineChars="200"/>
        <w:rPr>
          <w:rFonts w:ascii="宋体" w:cs="宋体"/>
          <w:kern w:val="10"/>
          <w:sz w:val="24"/>
          <w:szCs w:val="24"/>
          <w:highlight w:val="none"/>
        </w:rPr>
      </w:pPr>
      <w:r>
        <w:rPr>
          <w:rFonts w:hint="eastAsia" w:ascii="宋体" w:hAnsi="宋体" w:cs="宋体"/>
          <w:kern w:val="10"/>
          <w:sz w:val="24"/>
          <w:szCs w:val="24"/>
          <w:highlight w:val="none"/>
        </w:rPr>
        <w:t>评审内容及标准详见评审办法前附表一。有一项不合格的，</w:t>
      </w:r>
      <w:r>
        <w:rPr>
          <w:rFonts w:hint="eastAsia" w:ascii="宋体" w:hAnsi="宋体" w:cs="宋体"/>
          <w:b/>
          <w:sz w:val="24"/>
          <w:szCs w:val="24"/>
          <w:highlight w:val="none"/>
        </w:rPr>
        <w:t>投标文件按无效投标处理</w:t>
      </w:r>
      <w:r>
        <w:rPr>
          <w:rFonts w:hint="eastAsia" w:ascii="宋体" w:hAnsi="宋体" w:cs="宋体"/>
          <w:kern w:val="10"/>
          <w:sz w:val="24"/>
          <w:szCs w:val="24"/>
          <w:highlight w:val="none"/>
        </w:rPr>
        <w:t>。</w:t>
      </w:r>
    </w:p>
    <w:p>
      <w:pPr>
        <w:adjustRightInd w:val="0"/>
        <w:snapToGrid w:val="0"/>
        <w:spacing w:line="500" w:lineRule="exact"/>
        <w:ind w:firstLine="482" w:firstLineChars="200"/>
        <w:rPr>
          <w:rFonts w:ascii="宋体" w:cs="宋体"/>
          <w:b/>
          <w:sz w:val="24"/>
          <w:szCs w:val="24"/>
          <w:highlight w:val="none"/>
        </w:rPr>
      </w:pPr>
      <w:r>
        <w:rPr>
          <w:rFonts w:ascii="宋体" w:hAnsi="宋体" w:cs="宋体"/>
          <w:b/>
          <w:sz w:val="24"/>
          <w:szCs w:val="24"/>
          <w:highlight w:val="none"/>
        </w:rPr>
        <w:t>3.2</w:t>
      </w:r>
      <w:r>
        <w:rPr>
          <w:rFonts w:hint="eastAsia" w:ascii="宋体" w:hAnsi="宋体" w:cs="宋体"/>
          <w:b/>
          <w:sz w:val="24"/>
          <w:szCs w:val="24"/>
          <w:highlight w:val="none"/>
        </w:rPr>
        <w:t>综合评分</w:t>
      </w:r>
    </w:p>
    <w:p>
      <w:pPr>
        <w:adjustRightInd w:val="0"/>
        <w:snapToGrid w:val="0"/>
        <w:spacing w:line="500" w:lineRule="exact"/>
        <w:ind w:firstLine="480" w:firstLineChars="200"/>
        <w:rPr>
          <w:rFonts w:ascii="宋体" w:cs="宋体"/>
          <w:kern w:val="10"/>
          <w:sz w:val="24"/>
          <w:szCs w:val="24"/>
          <w:highlight w:val="none"/>
        </w:rPr>
      </w:pPr>
      <w:r>
        <w:rPr>
          <w:rFonts w:hint="eastAsia" w:ascii="宋体" w:hAnsi="宋体" w:cs="宋体"/>
          <w:kern w:val="10"/>
          <w:sz w:val="24"/>
          <w:szCs w:val="24"/>
          <w:highlight w:val="none"/>
        </w:rPr>
        <w:t>综合评分标准：见评审办法前附表二。</w:t>
      </w:r>
    </w:p>
    <w:p>
      <w:pPr>
        <w:pStyle w:val="22"/>
        <w:adjustRightInd w:val="0"/>
        <w:snapToGrid w:val="0"/>
        <w:spacing w:beforeAutospacing="0" w:afterAutospacing="0" w:line="500" w:lineRule="exact"/>
        <w:ind w:firstLine="470" w:firstLineChars="196"/>
        <w:rPr>
          <w:rFonts w:hAnsi="宋体" w:cs="宋体"/>
          <w:kern w:val="2"/>
          <w:highlight w:val="none"/>
        </w:rPr>
      </w:pPr>
      <w:r>
        <w:rPr>
          <w:rFonts w:hAnsi="宋体" w:cs="宋体"/>
          <w:kern w:val="2"/>
          <w:highlight w:val="none"/>
        </w:rPr>
        <w:t>4.</w:t>
      </w:r>
      <w:r>
        <w:rPr>
          <w:rFonts w:hint="eastAsia" w:hAnsi="宋体" w:cs="宋体"/>
          <w:kern w:val="2"/>
          <w:highlight w:val="none"/>
        </w:rPr>
        <w:t>评标结果</w:t>
      </w:r>
    </w:p>
    <w:p>
      <w:pPr>
        <w:adjustRightInd w:val="0"/>
        <w:snapToGrid w:val="0"/>
        <w:spacing w:line="500" w:lineRule="exact"/>
        <w:ind w:firstLine="472" w:firstLineChars="196"/>
        <w:rPr>
          <w:rFonts w:ascii="宋体" w:cs="宋体"/>
          <w:sz w:val="24"/>
          <w:szCs w:val="24"/>
          <w:highlight w:val="none"/>
        </w:rPr>
      </w:pPr>
      <w:r>
        <w:rPr>
          <w:rFonts w:ascii="宋体" w:hAnsi="宋体" w:cs="宋体"/>
          <w:b/>
          <w:sz w:val="24"/>
          <w:szCs w:val="24"/>
          <w:highlight w:val="none"/>
        </w:rPr>
        <w:t>4.1</w:t>
      </w:r>
      <w:r>
        <w:rPr>
          <w:rFonts w:hint="eastAsia" w:ascii="宋体" w:hAnsi="宋体" w:cs="宋体"/>
          <w:sz w:val="24"/>
          <w:szCs w:val="24"/>
          <w:highlight w:val="none"/>
        </w:rPr>
        <w:t>评审委员会依据招标文件规定的评标标准和方法，对通过初步评审的投标文件分别进行评审和打分，最终确定中标单位及排序，并向招标人提出书面评标报告。</w:t>
      </w:r>
    </w:p>
    <w:p>
      <w:pPr>
        <w:adjustRightInd w:val="0"/>
        <w:snapToGrid w:val="0"/>
        <w:spacing w:line="500" w:lineRule="exact"/>
        <w:ind w:firstLine="482" w:firstLineChars="200"/>
        <w:rPr>
          <w:rFonts w:ascii="宋体"/>
          <w:b/>
          <w:sz w:val="24"/>
          <w:szCs w:val="24"/>
          <w:highlight w:val="none"/>
        </w:rPr>
      </w:pPr>
      <w:r>
        <w:rPr>
          <w:rFonts w:ascii="宋体" w:hAnsi="宋体" w:cs="宋体"/>
          <w:b/>
          <w:sz w:val="24"/>
          <w:szCs w:val="24"/>
          <w:highlight w:val="none"/>
        </w:rPr>
        <w:t xml:space="preserve">4.2 </w:t>
      </w:r>
      <w:r>
        <w:rPr>
          <w:rFonts w:hint="eastAsia" w:ascii="宋体" w:hAnsi="宋体" w:cs="宋体"/>
          <w:sz w:val="24"/>
          <w:szCs w:val="24"/>
          <w:highlight w:val="none"/>
        </w:rPr>
        <w:t>评标结果在开标现场宣布并在六安市公共资源交易平台电子服务系统上公布。</w:t>
      </w:r>
    </w:p>
    <w:p>
      <w:pPr>
        <w:adjustRightInd w:val="0"/>
        <w:snapToGrid w:val="0"/>
        <w:spacing w:line="500" w:lineRule="exact"/>
        <w:ind w:firstLine="562" w:firstLineChars="200"/>
        <w:rPr>
          <w:rFonts w:ascii="宋体"/>
          <w:b/>
          <w:sz w:val="28"/>
          <w:szCs w:val="28"/>
          <w:highlight w:val="none"/>
        </w:rPr>
      </w:pPr>
    </w:p>
    <w:p>
      <w:pPr>
        <w:adjustRightInd w:val="0"/>
        <w:snapToGrid w:val="0"/>
        <w:spacing w:line="500" w:lineRule="exact"/>
        <w:ind w:firstLine="562" w:firstLineChars="200"/>
        <w:rPr>
          <w:rFonts w:ascii="宋体"/>
          <w:b/>
          <w:sz w:val="28"/>
          <w:szCs w:val="28"/>
          <w:highlight w:val="none"/>
        </w:rPr>
      </w:pPr>
    </w:p>
    <w:p>
      <w:pPr>
        <w:adjustRightInd w:val="0"/>
        <w:snapToGrid w:val="0"/>
        <w:spacing w:line="500" w:lineRule="exact"/>
        <w:ind w:firstLine="562" w:firstLineChars="200"/>
        <w:rPr>
          <w:rFonts w:ascii="宋体"/>
          <w:b/>
          <w:sz w:val="28"/>
          <w:szCs w:val="28"/>
          <w:highlight w:val="none"/>
        </w:rPr>
      </w:pPr>
    </w:p>
    <w:p>
      <w:pPr>
        <w:adjustRightInd w:val="0"/>
        <w:snapToGrid w:val="0"/>
        <w:spacing w:line="500" w:lineRule="exact"/>
        <w:ind w:firstLine="562" w:firstLineChars="200"/>
        <w:rPr>
          <w:rFonts w:ascii="宋体"/>
          <w:b/>
          <w:sz w:val="28"/>
          <w:szCs w:val="28"/>
          <w:highlight w:val="none"/>
        </w:rPr>
      </w:pPr>
    </w:p>
    <w:p>
      <w:pPr>
        <w:adjustRightInd w:val="0"/>
        <w:snapToGrid w:val="0"/>
        <w:spacing w:line="500" w:lineRule="exact"/>
        <w:ind w:firstLine="562" w:firstLineChars="200"/>
        <w:rPr>
          <w:rFonts w:ascii="宋体"/>
          <w:b/>
          <w:sz w:val="28"/>
          <w:szCs w:val="28"/>
          <w:highlight w:val="none"/>
        </w:rPr>
      </w:pPr>
    </w:p>
    <w:p>
      <w:pPr>
        <w:adjustRightInd w:val="0"/>
        <w:snapToGrid w:val="0"/>
        <w:spacing w:line="500" w:lineRule="exact"/>
        <w:ind w:firstLine="562" w:firstLineChars="200"/>
        <w:rPr>
          <w:rFonts w:ascii="宋体"/>
          <w:b/>
          <w:sz w:val="28"/>
          <w:szCs w:val="28"/>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bookmarkEnd w:id="6"/>
    <w:p>
      <w:pPr>
        <w:pStyle w:val="7"/>
        <w:tabs>
          <w:tab w:val="left" w:pos="1125"/>
        </w:tabs>
        <w:spacing w:line="520" w:lineRule="exact"/>
        <w:ind w:firstLine="0"/>
        <w:rPr>
          <w:rFonts w:ascii="宋体" w:hAnsi="宋体" w:eastAsia="宋体"/>
          <w:b w:val="0"/>
          <w:sz w:val="34"/>
          <w:szCs w:val="36"/>
          <w:highlight w:val="none"/>
          <w:shd w:val="clear" w:color="auto" w:fill="FFFFFF"/>
        </w:rPr>
      </w:pPr>
      <w:bookmarkStart w:id="8" w:name="_Toc83242156"/>
    </w:p>
    <w:p>
      <w:pPr>
        <w:pStyle w:val="7"/>
        <w:tabs>
          <w:tab w:val="left" w:pos="1125"/>
        </w:tabs>
        <w:spacing w:line="520" w:lineRule="exact"/>
        <w:ind w:firstLine="0"/>
        <w:rPr>
          <w:rFonts w:ascii="宋体" w:hAnsi="宋体" w:eastAsia="宋体"/>
          <w:b w:val="0"/>
          <w:sz w:val="34"/>
          <w:szCs w:val="36"/>
          <w:highlight w:val="none"/>
          <w:shd w:val="clear" w:color="auto" w:fill="FFFFFF"/>
        </w:rPr>
      </w:pPr>
      <w:r>
        <w:rPr>
          <w:rFonts w:hint="eastAsia" w:ascii="宋体" w:hAnsi="宋体" w:eastAsia="宋体"/>
          <w:b w:val="0"/>
          <w:sz w:val="34"/>
          <w:szCs w:val="36"/>
          <w:highlight w:val="none"/>
          <w:shd w:val="clear" w:color="auto" w:fill="FFFFFF"/>
        </w:rPr>
        <w:t>第四章</w:t>
      </w:r>
      <w:r>
        <w:rPr>
          <w:rFonts w:ascii="宋体" w:hAnsi="宋体" w:eastAsia="宋体"/>
          <w:b w:val="0"/>
          <w:sz w:val="34"/>
          <w:szCs w:val="36"/>
          <w:highlight w:val="none"/>
          <w:shd w:val="clear" w:color="auto" w:fill="FFFFFF"/>
        </w:rPr>
        <w:t xml:space="preserve">  </w:t>
      </w:r>
      <w:r>
        <w:rPr>
          <w:rFonts w:hint="eastAsia" w:ascii="宋体" w:hAnsi="宋体" w:eastAsia="宋体"/>
          <w:b w:val="0"/>
          <w:sz w:val="34"/>
          <w:szCs w:val="36"/>
          <w:highlight w:val="none"/>
          <w:shd w:val="clear" w:color="auto" w:fill="FFFFFF"/>
        </w:rPr>
        <w:t>合同条款及格式</w:t>
      </w:r>
      <w:r>
        <w:rPr>
          <w:rFonts w:ascii="宋体" w:hAnsi="宋体" w:eastAsia="宋体"/>
          <w:b w:val="0"/>
          <w:sz w:val="34"/>
          <w:szCs w:val="36"/>
          <w:highlight w:val="none"/>
          <w:shd w:val="clear" w:color="auto" w:fill="FFFFFF"/>
        </w:rPr>
        <w:t>(</w:t>
      </w:r>
      <w:r>
        <w:rPr>
          <w:rFonts w:hint="eastAsia" w:ascii="宋体" w:hAnsi="宋体" w:eastAsia="宋体"/>
          <w:b w:val="0"/>
          <w:sz w:val="34"/>
          <w:szCs w:val="36"/>
          <w:highlight w:val="none"/>
          <w:shd w:val="clear" w:color="auto" w:fill="FFFFFF"/>
        </w:rPr>
        <w:t>参照）</w:t>
      </w:r>
      <w:bookmarkEnd w:id="8"/>
    </w:p>
    <w:p>
      <w:pPr>
        <w:adjustRightInd w:val="0"/>
        <w:snapToGrid w:val="0"/>
        <w:spacing w:line="500" w:lineRule="exact"/>
        <w:jc w:val="center"/>
        <w:rPr>
          <w:rFonts w:ascii="宋体" w:hAnsi="宋体" w:cs="宋体"/>
          <w:b/>
          <w:sz w:val="32"/>
          <w:szCs w:val="32"/>
          <w:highlight w:val="none"/>
        </w:rPr>
      </w:pPr>
    </w:p>
    <w:p>
      <w:pPr>
        <w:adjustRightInd w:val="0"/>
        <w:snapToGrid w:val="0"/>
        <w:spacing w:line="500" w:lineRule="exact"/>
        <w:jc w:val="center"/>
        <w:rPr>
          <w:rFonts w:ascii="宋体" w:cs="宋体"/>
          <w:b/>
          <w:sz w:val="22"/>
          <w:highlight w:val="none"/>
        </w:rPr>
      </w:pPr>
      <w:r>
        <w:rPr>
          <w:rFonts w:hint="eastAsia" w:ascii="宋体" w:hAnsi="宋体" w:cs="宋体"/>
          <w:b/>
          <w:sz w:val="22"/>
          <w:highlight w:val="none"/>
        </w:rPr>
        <w:t>安徽兴叶工程咨询有限公司咨询服务合作供应商征集项目</w:t>
      </w:r>
      <w:r>
        <w:rPr>
          <w:rFonts w:hint="eastAsia" w:ascii="宋体" w:hAnsi="宋体" w:cs="宋体"/>
          <w:b/>
          <w:sz w:val="22"/>
          <w:highlight w:val="none"/>
          <w:lang w:val="en-US" w:eastAsia="zh-CN"/>
        </w:rPr>
        <w:t>供应商合作</w:t>
      </w:r>
      <w:r>
        <w:rPr>
          <w:rFonts w:hint="eastAsia" w:ascii="宋体" w:hAnsi="宋体" w:cs="宋体"/>
          <w:b/>
          <w:sz w:val="22"/>
          <w:highlight w:val="none"/>
        </w:rPr>
        <w:t>合同</w:t>
      </w:r>
    </w:p>
    <w:p>
      <w:pPr>
        <w:adjustRightInd w:val="0"/>
        <w:snapToGrid w:val="0"/>
        <w:spacing w:line="500" w:lineRule="exact"/>
        <w:ind w:firstLine="411" w:firstLineChars="196"/>
        <w:rPr>
          <w:rFonts w:ascii="宋体" w:hAnsi="宋体" w:cs="宋体"/>
          <w:highlight w:val="none"/>
        </w:rPr>
      </w:pP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甲方：安徽兴叶工程咨询有限公司</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乙方：</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依照相关规定，遵循平等、自愿、公平和诚实信用的原则，双方就安徽兴叶工程咨询有限公司咨询服务合作供应商征集项目事项协商一致，订立本合同书，双方共同遵守执行。本项目具体服务对象及具体完成时间等事宜双方在签订的合同中明确。</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一、合同时间</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自</w:t>
      </w:r>
      <w:r>
        <w:rPr>
          <w:rFonts w:cs="宋体" w:asciiTheme="minorEastAsia" w:hAnsiTheme="minorEastAsia" w:eastAsiaTheme="minorEastAsia"/>
          <w:sz w:val="24"/>
          <w:szCs w:val="24"/>
          <w:highlight w:val="none"/>
        </w:rPr>
        <w:t>20</w:t>
      </w:r>
      <w:r>
        <w:rPr>
          <w:rFonts w:hint="eastAsia" w:cs="宋体" w:asciiTheme="minorEastAsia" w:hAnsiTheme="minorEastAsia" w:eastAsiaTheme="minorEastAsia"/>
          <w:sz w:val="24"/>
          <w:szCs w:val="24"/>
          <w:highlight w:val="none"/>
        </w:rPr>
        <w:t>21</w:t>
      </w:r>
      <w:r>
        <w:rPr>
          <w:rFonts w:cs="宋体" w:asciiTheme="minorEastAsia" w:hAnsiTheme="minorEastAsia" w:eastAsiaTheme="minorEastAsia"/>
          <w:sz w:val="24"/>
          <w:szCs w:val="24"/>
          <w:highlight w:val="none"/>
        </w:rPr>
        <w:t xml:space="preserve">年  </w:t>
      </w:r>
      <w:r>
        <w:rPr>
          <w:rFonts w:hint="eastAsia" w:cs="宋体" w:asciiTheme="minorEastAsia" w:hAnsiTheme="minorEastAsia" w:eastAsiaTheme="minorEastAsia"/>
          <w:sz w:val="24"/>
          <w:szCs w:val="24"/>
          <w:highlight w:val="none"/>
        </w:rPr>
        <w:t>月</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日至</w:t>
      </w:r>
      <w:r>
        <w:rPr>
          <w:rFonts w:cs="宋体" w:asciiTheme="minorEastAsia" w:hAnsiTheme="minorEastAsia" w:eastAsiaTheme="minorEastAsia"/>
          <w:sz w:val="24"/>
          <w:szCs w:val="24"/>
          <w:highlight w:val="none"/>
        </w:rPr>
        <w:t>202</w:t>
      </w:r>
      <w:r>
        <w:rPr>
          <w:rFonts w:hint="eastAsia" w:cs="宋体" w:asciiTheme="minorEastAsia" w:hAnsiTheme="minorEastAsia" w:eastAsiaTheme="minorEastAsia"/>
          <w:sz w:val="24"/>
          <w:szCs w:val="24"/>
          <w:highlight w:val="none"/>
        </w:rPr>
        <w:t>4</w:t>
      </w:r>
      <w:r>
        <w:rPr>
          <w:rFonts w:cs="宋体" w:asciiTheme="minorEastAsia" w:hAnsiTheme="minorEastAsia" w:eastAsiaTheme="minorEastAsia"/>
          <w:sz w:val="24"/>
          <w:szCs w:val="24"/>
          <w:highlight w:val="none"/>
        </w:rPr>
        <w:t xml:space="preserve">年  </w:t>
      </w:r>
      <w:r>
        <w:rPr>
          <w:rFonts w:hint="eastAsia" w:cs="宋体" w:asciiTheme="minorEastAsia" w:hAnsiTheme="minorEastAsia" w:eastAsiaTheme="minorEastAsia"/>
          <w:sz w:val="24"/>
          <w:szCs w:val="24"/>
          <w:highlight w:val="none"/>
        </w:rPr>
        <w:t>月</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日</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二、业务的范围</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hint="eastAsia" w:ascii="宋体" w:hAnsi="宋体"/>
          <w:sz w:val="24"/>
          <w:szCs w:val="24"/>
          <w:highlight w:val="none"/>
          <w:shd w:val="clear" w:color="auto" w:fill="FFFFFF"/>
        </w:rPr>
        <w:t>从事相关</w:t>
      </w:r>
      <w:r>
        <w:rPr>
          <w:rFonts w:hint="eastAsia" w:ascii="宋体" w:hAnsi="宋体"/>
          <w:sz w:val="24"/>
          <w:szCs w:val="24"/>
          <w:highlight w:val="none"/>
          <w:shd w:val="clear" w:color="auto" w:fill="FFFFFF"/>
          <w:lang w:val="en-US" w:eastAsia="zh-CN"/>
        </w:rPr>
        <w:t>项目的</w:t>
      </w:r>
      <w:r>
        <w:rPr>
          <w:rFonts w:hint="eastAsia" w:ascii="宋体" w:hAnsi="宋体"/>
          <w:sz w:val="24"/>
          <w:szCs w:val="24"/>
          <w:highlight w:val="none"/>
          <w:shd w:val="clear" w:color="auto" w:fill="FFFFFF"/>
        </w:rPr>
        <w:t>招标、采购、造价咨询服务(含工程量清单及控制价编制)</w:t>
      </w:r>
      <w:r>
        <w:rPr>
          <w:rFonts w:hint="eastAsia" w:cs="宋体" w:asciiTheme="minorEastAsia" w:hAnsiTheme="minorEastAsia" w:eastAsiaTheme="minorEastAsia"/>
          <w:sz w:val="24"/>
          <w:szCs w:val="24"/>
          <w:highlight w:val="none"/>
        </w:rPr>
        <w:t>。</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三、甲方的权利和义务</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1、负责对乙方服务内容档案的检查、指导及验收，要求乙方对招投标档案进行妥善整理并按规定时间向甲方移交；</w:t>
      </w:r>
    </w:p>
    <w:p>
      <w:pPr>
        <w:widowControl/>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2、负责对乙方按招标代理项目进行考核，考核分定期考核和日常考核，以日常考核为主，按照乙方履行职责情况进行考核计分；考核结果记入乙方考核档案,</w:t>
      </w:r>
      <w:r>
        <w:rPr>
          <w:rFonts w:hint="eastAsia" w:cs="宋体" w:asciiTheme="minorEastAsia" w:hAnsiTheme="minorEastAsia" w:eastAsiaTheme="minorEastAsia"/>
          <w:sz w:val="24"/>
          <w:szCs w:val="24"/>
          <w:highlight w:val="none"/>
        </w:rPr>
        <w:t>并以此作为是否继续保留在</w:t>
      </w:r>
      <w:r>
        <w:rPr>
          <w:rFonts w:hint="eastAsia" w:cs="宋体" w:asciiTheme="minorEastAsia" w:hAnsiTheme="minorEastAsia" w:eastAsiaTheme="minorEastAsia"/>
          <w:sz w:val="24"/>
          <w:szCs w:val="24"/>
          <w:highlight w:val="none"/>
          <w:lang w:val="en-US" w:eastAsia="zh-CN"/>
        </w:rPr>
        <w:t>主选供应商</w:t>
      </w:r>
      <w:r>
        <w:rPr>
          <w:rFonts w:hint="eastAsia" w:cs="宋体" w:asciiTheme="minorEastAsia" w:hAnsiTheme="minorEastAsia" w:eastAsiaTheme="minorEastAsia"/>
          <w:sz w:val="24"/>
          <w:szCs w:val="24"/>
          <w:highlight w:val="none"/>
        </w:rPr>
        <w:t>名单中的依据；定期考核时间原则上每</w:t>
      </w:r>
      <w:r>
        <w:rPr>
          <w:rFonts w:hint="eastAsia" w:cs="宋体" w:asciiTheme="minorEastAsia" w:hAnsiTheme="minorEastAsia" w:eastAsiaTheme="minorEastAsia"/>
          <w:sz w:val="24"/>
          <w:szCs w:val="24"/>
          <w:highlight w:val="none"/>
          <w:lang w:val="en-US" w:eastAsia="zh-CN"/>
        </w:rPr>
        <w:t>半</w:t>
      </w:r>
      <w:r>
        <w:rPr>
          <w:rFonts w:hint="eastAsia" w:cs="宋体" w:asciiTheme="minorEastAsia" w:hAnsiTheme="minorEastAsia" w:eastAsiaTheme="minorEastAsia"/>
          <w:sz w:val="24"/>
          <w:szCs w:val="24"/>
          <w:highlight w:val="none"/>
        </w:rPr>
        <w:t>年组织一次，考核的内容主要是：工作纪律、服务质量、工作进度等三个方面；日常考核主要对政府投资建设项目服务质量、效率、诚信等各方面进行逐个考核，实行动态管理及实时淘汰机制。</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四、乙方的权利和义务</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rPr>
        <w:t>、按照《中华人民共和国招标投标法》、《中华人民共和国招标投标法实施条例》、《中华人民共和国政府采购法》、</w:t>
      </w:r>
      <w:r>
        <w:rPr>
          <w:rFonts w:hint="eastAsia" w:asciiTheme="minorEastAsia" w:hAnsiTheme="minorEastAsia" w:eastAsiaTheme="minorEastAsia"/>
          <w:sz w:val="24"/>
          <w:szCs w:val="24"/>
          <w:highlight w:val="none"/>
        </w:rPr>
        <w:t>《安徽省建设工程造价管理条例》</w:t>
      </w:r>
      <w:r>
        <w:rPr>
          <w:rFonts w:hint="eastAsia" w:cs="宋体" w:asciiTheme="minorEastAsia" w:hAnsiTheme="minorEastAsia" w:eastAsiaTheme="minorEastAsia"/>
          <w:sz w:val="24"/>
          <w:szCs w:val="24"/>
          <w:highlight w:val="none"/>
        </w:rPr>
        <w:t>等规定的程序和服务工作的相应要求，对受托的项目进行工程招标代理、采购及工程造价咨询服务，并对其工作结果负责。</w:t>
      </w:r>
    </w:p>
    <w:p>
      <w:pPr>
        <w:adjustRightInd w:val="0"/>
        <w:snapToGrid w:val="0"/>
        <w:spacing w:line="500" w:lineRule="exact"/>
        <w:ind w:firstLine="480" w:firstLineChars="20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w:t>
      </w:r>
      <w:r>
        <w:rPr>
          <w:rFonts w:hint="eastAsia" w:cs="宋体" w:asciiTheme="minorEastAsia" w:hAnsiTheme="minorEastAsia" w:eastAsiaTheme="minorEastAsia"/>
          <w:sz w:val="24"/>
          <w:szCs w:val="24"/>
          <w:highlight w:val="none"/>
        </w:rPr>
        <w:t>、服务过程中，要注意把握工作进度，在规定时间内，完成服务工作，并向委托单位出具工作报告。</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3</w:t>
      </w:r>
      <w:r>
        <w:rPr>
          <w:rFonts w:hint="eastAsia" w:cs="宋体" w:asciiTheme="minorEastAsia" w:hAnsiTheme="minorEastAsia" w:eastAsiaTheme="minorEastAsia"/>
          <w:sz w:val="24"/>
          <w:szCs w:val="24"/>
          <w:highlight w:val="none"/>
        </w:rPr>
        <w:t>、</w:t>
      </w:r>
      <w:bookmarkEnd w:id="3"/>
      <w:bookmarkEnd w:id="4"/>
      <w:r>
        <w:rPr>
          <w:rFonts w:hint="eastAsia" w:cs="宋体" w:asciiTheme="minorEastAsia" w:hAnsiTheme="minorEastAsia" w:eastAsiaTheme="minorEastAsia"/>
          <w:sz w:val="24"/>
          <w:szCs w:val="24"/>
          <w:highlight w:val="none"/>
        </w:rPr>
        <w:t>乙方不得将服务项目转包或分包给其他单位或个人，乙方参与人员必须为本项目投标文件中拟派人员，项目负责人必须为本项目投标文件中确定的负责人，原则上不得变更，否则按本招标文件及甲方制定的相关管理办法进行处罚。</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4</w:t>
      </w:r>
      <w:r>
        <w:rPr>
          <w:rFonts w:hint="eastAsia" w:cs="宋体" w:asciiTheme="minorEastAsia" w:hAnsiTheme="minorEastAsia" w:eastAsiaTheme="minorEastAsia"/>
          <w:sz w:val="24"/>
          <w:szCs w:val="24"/>
          <w:highlight w:val="none"/>
        </w:rPr>
        <w:t>、乙方及其投标文件中列明的项目负责人必须按规定承接项目，否则取消咨询服务</w:t>
      </w:r>
      <w:r>
        <w:rPr>
          <w:rFonts w:hint="eastAsia" w:cs="宋体" w:asciiTheme="minorEastAsia" w:hAnsiTheme="minorEastAsia" w:eastAsiaTheme="minorEastAsia"/>
          <w:sz w:val="24"/>
          <w:szCs w:val="24"/>
          <w:highlight w:val="none"/>
          <w:lang w:val="en-US" w:eastAsia="zh-CN"/>
        </w:rPr>
        <w:t>合作</w:t>
      </w:r>
      <w:r>
        <w:rPr>
          <w:rFonts w:hint="eastAsia" w:cs="宋体" w:asciiTheme="minorEastAsia" w:hAnsiTheme="minorEastAsia" w:eastAsiaTheme="minorEastAsia"/>
          <w:sz w:val="24"/>
          <w:szCs w:val="24"/>
          <w:highlight w:val="none"/>
        </w:rPr>
        <w:t>供应商资格（甲方制定的相关管理办法另有规定的按规定执行）。</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5、乙方应当在向委托单位出具工作报告的同时，将实施过程中所形成的全部纸质原件和电子资料，按甲方档案管理要求及时立卷归档，报送甲方进行备案。对未向甲方进行备案的项目，甲方将按甲方制定的相关管理办法进行处理，同时要求费用承担单位不予支付相关服务费用。</w:t>
      </w:r>
    </w:p>
    <w:p>
      <w:pPr>
        <w:keepNext w:val="0"/>
        <w:keepLines w:val="0"/>
        <w:pageBreakBefore w:val="0"/>
        <w:kinsoku/>
        <w:wordWrap/>
        <w:overflowPunct/>
        <w:topLinePunct w:val="0"/>
        <w:autoSpaceDE/>
        <w:bidi w:val="0"/>
        <w:adjustRightInd w:val="0"/>
        <w:snapToGrid w:val="0"/>
        <w:spacing w:line="500" w:lineRule="exact"/>
        <w:ind w:firstLine="470" w:firstLineChars="196"/>
        <w:textAlignment w:val="auto"/>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6、不得将项目实施过程中取得的资料用于与服务事项无关的目的，不得对外公开、公布。</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7、乙方的参与人员在服务中应保持必要的执业谨慎。在服务过程中如发现异常情况或重大问题应当及时向甲方汇报。</w:t>
      </w:r>
    </w:p>
    <w:p>
      <w:pPr>
        <w:adjustRightInd w:val="0"/>
        <w:snapToGrid w:val="0"/>
        <w:spacing w:line="500" w:lineRule="exact"/>
        <w:ind w:firstLine="472"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五、费用（结算方式）：</w:t>
      </w:r>
      <w:r>
        <w:rPr>
          <w:rFonts w:hint="eastAsia" w:cs="宋体" w:asciiTheme="minorEastAsia" w:hAnsiTheme="minorEastAsia" w:eastAsiaTheme="minorEastAsia"/>
          <w:sz w:val="24"/>
          <w:szCs w:val="24"/>
          <w:highlight w:val="none"/>
        </w:rPr>
        <w:t>按季度</w:t>
      </w:r>
      <w:r>
        <w:rPr>
          <w:rFonts w:hint="eastAsia" w:cs="宋体" w:asciiTheme="minorEastAsia" w:hAnsiTheme="minorEastAsia" w:eastAsiaTheme="minorEastAsia"/>
          <w:sz w:val="24"/>
          <w:szCs w:val="24"/>
          <w:highlight w:val="none"/>
          <w:lang w:val="en-US" w:eastAsia="zh-CN"/>
        </w:rPr>
        <w:t>结算</w:t>
      </w:r>
      <w:r>
        <w:rPr>
          <w:rFonts w:hint="eastAsia" w:cs="宋体" w:asciiTheme="minorEastAsia" w:hAnsiTheme="minorEastAsia" w:eastAsiaTheme="minorEastAsia"/>
          <w:sz w:val="24"/>
          <w:szCs w:val="24"/>
          <w:highlight w:val="none"/>
        </w:rPr>
        <w:t>，遇特殊情况，由咨询服务</w:t>
      </w:r>
      <w:r>
        <w:rPr>
          <w:rFonts w:hint="eastAsia" w:cs="宋体" w:asciiTheme="minorEastAsia" w:hAnsiTheme="minorEastAsia" w:eastAsiaTheme="minorEastAsia"/>
          <w:sz w:val="24"/>
          <w:szCs w:val="24"/>
          <w:highlight w:val="none"/>
          <w:lang w:val="en-US" w:eastAsia="zh-CN"/>
        </w:rPr>
        <w:t>合作</w:t>
      </w:r>
      <w:r>
        <w:rPr>
          <w:rFonts w:hint="eastAsia" w:cs="宋体" w:asciiTheme="minorEastAsia" w:hAnsiTheme="minorEastAsia" w:eastAsiaTheme="minorEastAsia"/>
          <w:sz w:val="24"/>
          <w:szCs w:val="24"/>
          <w:highlight w:val="none"/>
        </w:rPr>
        <w:t>供应商提出申请，经招标人同意后可据实结算。</w:t>
      </w:r>
      <w:r>
        <w:rPr>
          <w:rFonts w:hint="eastAsia" w:cs="宋体" w:asciiTheme="minorEastAsia" w:hAnsiTheme="minorEastAsia" w:eastAsiaTheme="minorEastAsia"/>
          <w:sz w:val="24"/>
          <w:szCs w:val="24"/>
          <w:highlight w:val="none"/>
          <w:lang w:val="en-US" w:eastAsia="zh-CN"/>
        </w:rPr>
        <w:t>计费方式和依据：</w:t>
      </w:r>
      <w:r>
        <w:rPr>
          <w:rFonts w:hint="eastAsia" w:cs="宋体" w:asciiTheme="minorEastAsia" w:hAnsiTheme="minorEastAsia" w:eastAsiaTheme="minorEastAsia"/>
          <w:sz w:val="24"/>
          <w:szCs w:val="24"/>
          <w:highlight w:val="none"/>
        </w:rPr>
        <w:t>安徽兴叶工程咨询有限公司与咨询服务</w:t>
      </w:r>
      <w:r>
        <w:rPr>
          <w:rFonts w:hint="eastAsia" w:cs="宋体" w:asciiTheme="minorEastAsia" w:hAnsiTheme="minorEastAsia" w:eastAsiaTheme="minorEastAsia"/>
          <w:sz w:val="24"/>
          <w:szCs w:val="24"/>
          <w:highlight w:val="none"/>
          <w:lang w:val="en-US" w:eastAsia="zh-CN"/>
        </w:rPr>
        <w:t>合作</w:t>
      </w:r>
      <w:r>
        <w:rPr>
          <w:rFonts w:hint="eastAsia" w:cs="宋体" w:asciiTheme="minorEastAsia" w:hAnsiTheme="minorEastAsia" w:eastAsiaTheme="minorEastAsia"/>
          <w:sz w:val="24"/>
          <w:szCs w:val="24"/>
          <w:highlight w:val="none"/>
        </w:rPr>
        <w:t>供应商的费用分成比例为：招标类</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lang w:val="en-US" w:eastAsia="zh-CN"/>
        </w:rPr>
        <w:t>政府采购类除外</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rPr>
        <w:t>：7:3。政府采购类：收费</w:t>
      </w:r>
      <w:r>
        <w:rPr>
          <w:rFonts w:hint="eastAsia" w:cs="宋体" w:asciiTheme="minorEastAsia" w:hAnsiTheme="minorEastAsia" w:eastAsiaTheme="minorEastAsia"/>
          <w:sz w:val="24"/>
          <w:szCs w:val="24"/>
          <w:highlight w:val="none"/>
          <w:lang w:val="en-US" w:eastAsia="zh-CN"/>
        </w:rPr>
        <w:t>5</w:t>
      </w:r>
      <w:r>
        <w:rPr>
          <w:rFonts w:hint="eastAsia" w:cs="宋体" w:asciiTheme="minorEastAsia" w:hAnsiTheme="minorEastAsia" w:eastAsiaTheme="minorEastAsia"/>
          <w:sz w:val="24"/>
          <w:szCs w:val="24"/>
          <w:highlight w:val="none"/>
        </w:rPr>
        <w:t>000元以下由咨询服务</w:t>
      </w:r>
      <w:r>
        <w:rPr>
          <w:rFonts w:hint="eastAsia" w:cs="宋体" w:asciiTheme="minorEastAsia" w:hAnsiTheme="minorEastAsia" w:eastAsiaTheme="minorEastAsia"/>
          <w:sz w:val="24"/>
          <w:szCs w:val="24"/>
          <w:highlight w:val="none"/>
          <w:lang w:val="en-US" w:eastAsia="zh-CN"/>
        </w:rPr>
        <w:t>合作</w:t>
      </w:r>
      <w:r>
        <w:rPr>
          <w:rFonts w:hint="eastAsia" w:cs="宋体" w:asciiTheme="minorEastAsia" w:hAnsiTheme="minorEastAsia" w:eastAsiaTheme="minorEastAsia"/>
          <w:sz w:val="24"/>
          <w:szCs w:val="24"/>
          <w:highlight w:val="none"/>
        </w:rPr>
        <w:t>供应商全额收取；收费</w:t>
      </w:r>
      <w:r>
        <w:rPr>
          <w:rFonts w:hint="eastAsia" w:cs="宋体" w:asciiTheme="minorEastAsia" w:hAnsiTheme="minorEastAsia" w:eastAsiaTheme="minorEastAsia"/>
          <w:sz w:val="24"/>
          <w:szCs w:val="24"/>
          <w:highlight w:val="none"/>
          <w:lang w:val="en-US" w:eastAsia="zh-CN"/>
        </w:rPr>
        <w:t>5</w:t>
      </w:r>
      <w:r>
        <w:rPr>
          <w:rFonts w:hint="eastAsia" w:cs="宋体" w:asciiTheme="minorEastAsia" w:hAnsiTheme="minorEastAsia" w:eastAsiaTheme="minorEastAsia"/>
          <w:sz w:val="24"/>
          <w:szCs w:val="24"/>
          <w:highlight w:val="none"/>
        </w:rPr>
        <w:t>000元（含）-</w:t>
      </w:r>
      <w:r>
        <w:rPr>
          <w:rFonts w:hint="eastAsia" w:cs="宋体" w:asciiTheme="minorEastAsia" w:hAnsiTheme="minorEastAsia" w:eastAsiaTheme="minorEastAsia"/>
          <w:sz w:val="24"/>
          <w:szCs w:val="24"/>
          <w:highlight w:val="none"/>
          <w:lang w:val="en-US" w:eastAsia="zh-CN"/>
        </w:rPr>
        <w:t>40</w:t>
      </w:r>
      <w:r>
        <w:rPr>
          <w:rFonts w:hint="eastAsia" w:cs="宋体" w:asciiTheme="minorEastAsia" w:hAnsiTheme="minorEastAsia" w:eastAsiaTheme="minorEastAsia"/>
          <w:sz w:val="24"/>
          <w:szCs w:val="24"/>
          <w:highlight w:val="none"/>
        </w:rPr>
        <w:t>000元（含）按2:8；收费</w:t>
      </w:r>
      <w:r>
        <w:rPr>
          <w:rFonts w:hint="eastAsia" w:cs="宋体" w:asciiTheme="minorEastAsia" w:hAnsiTheme="minorEastAsia" w:eastAsiaTheme="minorEastAsia"/>
          <w:sz w:val="24"/>
          <w:szCs w:val="24"/>
          <w:highlight w:val="none"/>
          <w:lang w:val="en-US" w:eastAsia="zh-CN"/>
        </w:rPr>
        <w:t>40</w:t>
      </w:r>
      <w:r>
        <w:rPr>
          <w:rFonts w:hint="eastAsia" w:cs="宋体" w:asciiTheme="minorEastAsia" w:hAnsiTheme="minorEastAsia" w:eastAsiaTheme="minorEastAsia"/>
          <w:sz w:val="24"/>
          <w:szCs w:val="24"/>
          <w:highlight w:val="none"/>
        </w:rPr>
        <w:t>000元以上按3:7。工程造价咨询类：6:4。</w:t>
      </w:r>
    </w:p>
    <w:p>
      <w:pPr>
        <w:keepNext w:val="0"/>
        <w:keepLines w:val="0"/>
        <w:pageBreakBefore w:val="0"/>
        <w:kinsoku/>
        <w:wordWrap/>
        <w:overflowPunct/>
        <w:topLinePunct w:val="0"/>
        <w:autoSpaceDE/>
        <w:bidi w:val="0"/>
        <w:adjustRightInd w:val="0"/>
        <w:snapToGrid w:val="0"/>
        <w:spacing w:line="500" w:lineRule="exact"/>
        <w:ind w:firstLine="472" w:firstLineChars="196"/>
        <w:textAlignment w:val="auto"/>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六、违约责任</w:t>
      </w:r>
    </w:p>
    <w:p>
      <w:pPr>
        <w:keepNext w:val="0"/>
        <w:keepLines w:val="0"/>
        <w:pageBreakBefore w:val="0"/>
        <w:widowControl/>
        <w:kinsoku/>
        <w:wordWrap/>
        <w:overflowPunct/>
        <w:topLinePunct w:val="0"/>
        <w:autoSpaceDE/>
        <w:bidi w:val="0"/>
        <w:adjustRightInd w:val="0"/>
        <w:snapToGrid w:val="0"/>
        <w:spacing w:line="500" w:lineRule="exact"/>
        <w:ind w:firstLine="480" w:firstLineChars="200"/>
        <w:jc w:val="left"/>
        <w:textAlignment w:val="auto"/>
        <w:rPr>
          <w:rFonts w:asciiTheme="minorEastAsia" w:hAnsiTheme="minorEastAsia" w:eastAsiaTheme="minorEastAsia"/>
          <w:kern w:val="0"/>
          <w:sz w:val="24"/>
          <w:szCs w:val="24"/>
          <w:highlight w:val="none"/>
        </w:rPr>
      </w:pPr>
      <w:r>
        <w:rPr>
          <w:rFonts w:asciiTheme="minorEastAsia" w:hAnsiTheme="minorEastAsia" w:eastAsiaTheme="minorEastAsia"/>
          <w:kern w:val="0"/>
          <w:sz w:val="24"/>
          <w:szCs w:val="24"/>
          <w:highlight w:val="none"/>
        </w:rPr>
        <w:t>1</w:t>
      </w:r>
      <w:r>
        <w:rPr>
          <w:rFonts w:hint="eastAsia" w:asciiTheme="minorEastAsia" w:hAnsiTheme="minorEastAsia" w:eastAsiaTheme="minorEastAsia"/>
          <w:kern w:val="0"/>
          <w:sz w:val="24"/>
          <w:szCs w:val="24"/>
          <w:highlight w:val="none"/>
        </w:rPr>
        <w:t>、甲方根据日常考核和抽查情况</w:t>
      </w:r>
      <w:r>
        <w:rPr>
          <w:rFonts w:hint="eastAsia" w:cs="宋体" w:asciiTheme="minorEastAsia" w:hAnsiTheme="minorEastAsia" w:eastAsiaTheme="minorEastAsia"/>
          <w:kern w:val="0"/>
          <w:sz w:val="24"/>
          <w:szCs w:val="24"/>
          <w:highlight w:val="none"/>
        </w:rPr>
        <w:t>进行考核管理，并将考核结果与奖惩挂钩。</w:t>
      </w:r>
    </w:p>
    <w:p>
      <w:pPr>
        <w:adjustRightInd w:val="0"/>
        <w:snapToGrid w:val="0"/>
        <w:spacing w:line="500" w:lineRule="exact"/>
        <w:ind w:firstLine="480" w:firstLineChars="200"/>
        <w:rPr>
          <w:rFonts w:cs="宋体" w:asciiTheme="minorEastAsia" w:hAnsiTheme="minorEastAsia" w:eastAsiaTheme="minorEastAsia"/>
          <w:kern w:val="0"/>
          <w:sz w:val="24"/>
          <w:szCs w:val="24"/>
          <w:highlight w:val="none"/>
        </w:rPr>
      </w:pPr>
      <w:r>
        <w:rPr>
          <w:rFonts w:cs="宋体" w:asciiTheme="minorEastAsia" w:hAnsiTheme="minorEastAsia" w:eastAsiaTheme="minorEastAsia"/>
          <w:kern w:val="0"/>
          <w:sz w:val="24"/>
          <w:szCs w:val="24"/>
          <w:highlight w:val="none"/>
        </w:rPr>
        <w:t>2</w:t>
      </w:r>
      <w:r>
        <w:rPr>
          <w:rFonts w:hint="eastAsia" w:cs="宋体" w:asciiTheme="minorEastAsia" w:hAnsiTheme="minorEastAsia" w:eastAsiaTheme="minorEastAsia"/>
          <w:kern w:val="0"/>
          <w:sz w:val="24"/>
          <w:szCs w:val="24"/>
          <w:highlight w:val="none"/>
        </w:rPr>
        <w:t>、乙方在服务过程中出现下列行为并经查证属实的，</w:t>
      </w:r>
      <w:r>
        <w:rPr>
          <w:rFonts w:hint="eastAsia" w:asciiTheme="minorEastAsia" w:hAnsiTheme="minorEastAsia" w:eastAsiaTheme="minorEastAsia"/>
          <w:kern w:val="0"/>
          <w:sz w:val="24"/>
          <w:szCs w:val="24"/>
          <w:highlight w:val="none"/>
        </w:rPr>
        <w:t>甲方</w:t>
      </w:r>
      <w:r>
        <w:rPr>
          <w:rFonts w:hint="eastAsia" w:cs="宋体" w:asciiTheme="minorEastAsia" w:hAnsiTheme="minorEastAsia" w:eastAsiaTheme="minorEastAsia"/>
          <w:kern w:val="0"/>
          <w:sz w:val="24"/>
          <w:szCs w:val="24"/>
          <w:highlight w:val="none"/>
        </w:rPr>
        <w:t>视情节分别给予：扣减服务费用、暂停或取消安徽兴叶工程咨询有限公司咨询服务合作供应商资格，情节严重涉嫌犯罪的移送司法机关处理。</w:t>
      </w:r>
    </w:p>
    <w:p>
      <w:pPr>
        <w:adjustRightInd w:val="0"/>
        <w:snapToGrid w:val="0"/>
        <w:spacing w:line="500" w:lineRule="exact"/>
        <w:ind w:firstLine="480" w:firstLineChars="200"/>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1</w:t>
      </w:r>
      <w:r>
        <w:rPr>
          <w:rFonts w:hint="eastAsia" w:cs="宋体" w:asciiTheme="minorEastAsia" w:hAnsiTheme="minorEastAsia" w:eastAsiaTheme="minorEastAsia"/>
          <w:kern w:val="0"/>
          <w:sz w:val="24"/>
          <w:szCs w:val="24"/>
          <w:highlight w:val="none"/>
        </w:rPr>
        <w:t>）服务人员过失等原因，甲方认为乙方在工程招标代理及造价咨询服务工作中造成经济损失或不良影响的；</w:t>
      </w:r>
    </w:p>
    <w:p>
      <w:pPr>
        <w:adjustRightInd w:val="0"/>
        <w:snapToGrid w:val="0"/>
        <w:spacing w:line="500" w:lineRule="exact"/>
        <w:ind w:firstLine="480" w:firstLineChars="200"/>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2</w:t>
      </w:r>
      <w:r>
        <w:rPr>
          <w:rFonts w:hint="eastAsia" w:cs="宋体" w:asciiTheme="minorEastAsia" w:hAnsiTheme="minorEastAsia" w:eastAsiaTheme="minorEastAsia"/>
          <w:kern w:val="0"/>
          <w:sz w:val="24"/>
          <w:szCs w:val="24"/>
          <w:highlight w:val="none"/>
        </w:rPr>
        <w:t>）隐瞒服务过程中发现的违法违纪事实的；</w:t>
      </w:r>
    </w:p>
    <w:p>
      <w:pPr>
        <w:adjustRightInd w:val="0"/>
        <w:snapToGrid w:val="0"/>
        <w:spacing w:line="500" w:lineRule="exact"/>
        <w:ind w:firstLine="480" w:firstLineChars="200"/>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3</w:t>
      </w:r>
      <w:r>
        <w:rPr>
          <w:rFonts w:hint="eastAsia" w:cs="宋体" w:asciiTheme="minorEastAsia" w:hAnsiTheme="minorEastAsia" w:eastAsiaTheme="minorEastAsia"/>
          <w:kern w:val="0"/>
          <w:sz w:val="24"/>
          <w:szCs w:val="24"/>
          <w:highlight w:val="none"/>
        </w:rPr>
        <w:t>）出具虚假工作报告的；</w:t>
      </w:r>
    </w:p>
    <w:p>
      <w:pPr>
        <w:adjustRightInd w:val="0"/>
        <w:snapToGrid w:val="0"/>
        <w:spacing w:line="500" w:lineRule="exact"/>
        <w:ind w:firstLine="480" w:firstLineChars="200"/>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4</w:t>
      </w:r>
      <w:r>
        <w:rPr>
          <w:rFonts w:hint="eastAsia" w:cs="宋体" w:asciiTheme="minorEastAsia" w:hAnsiTheme="minorEastAsia" w:eastAsiaTheme="minorEastAsia"/>
          <w:kern w:val="0"/>
          <w:sz w:val="24"/>
          <w:szCs w:val="24"/>
          <w:highlight w:val="none"/>
        </w:rPr>
        <w:t>）泄露被国家机密和商业秘密，违规发布信息的；</w:t>
      </w:r>
    </w:p>
    <w:p>
      <w:pPr>
        <w:adjustRightInd w:val="0"/>
        <w:snapToGrid w:val="0"/>
        <w:spacing w:line="500" w:lineRule="exact"/>
        <w:ind w:firstLine="480" w:firstLineChars="200"/>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5</w:t>
      </w:r>
      <w:r>
        <w:rPr>
          <w:rFonts w:hint="eastAsia" w:cs="宋体" w:asciiTheme="minorEastAsia" w:hAnsiTheme="minorEastAsia" w:eastAsiaTheme="minorEastAsia"/>
          <w:kern w:val="0"/>
          <w:sz w:val="24"/>
          <w:szCs w:val="24"/>
          <w:highlight w:val="none"/>
        </w:rPr>
        <w:t>）违反廉政纪律要求和相关工作规定的；</w:t>
      </w:r>
    </w:p>
    <w:p>
      <w:pPr>
        <w:adjustRightInd w:val="0"/>
        <w:snapToGrid w:val="0"/>
        <w:spacing w:line="500" w:lineRule="exact"/>
        <w:ind w:firstLine="480" w:firstLineChars="200"/>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6</w:t>
      </w:r>
      <w:r>
        <w:rPr>
          <w:rFonts w:hint="eastAsia" w:cs="宋体" w:asciiTheme="minorEastAsia" w:hAnsiTheme="minorEastAsia" w:eastAsiaTheme="minorEastAsia"/>
          <w:kern w:val="0"/>
          <w:sz w:val="24"/>
          <w:szCs w:val="24"/>
          <w:highlight w:val="none"/>
        </w:rPr>
        <w:t>）应当主动回避而没有回避的；</w:t>
      </w:r>
    </w:p>
    <w:p>
      <w:pPr>
        <w:adjustRightInd w:val="0"/>
        <w:snapToGrid w:val="0"/>
        <w:spacing w:line="500" w:lineRule="exact"/>
        <w:ind w:firstLine="480" w:firstLineChars="200"/>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7</w:t>
      </w:r>
      <w:r>
        <w:rPr>
          <w:rFonts w:hint="eastAsia" w:cs="宋体" w:asciiTheme="minorEastAsia" w:hAnsiTheme="minorEastAsia" w:eastAsiaTheme="minorEastAsia"/>
          <w:kern w:val="0"/>
          <w:sz w:val="24"/>
          <w:szCs w:val="24"/>
          <w:highlight w:val="none"/>
        </w:rPr>
        <w:t>）违反六安市叶集区相关文件要求及其他违法违规行为。</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七、履约保证金</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履约保证金用于保证乙方按合同履行其全部义务，除凡是由于乙方原因导致其在安徽兴叶工程咨询有限公司咨询服务合作供应商名单中的资格被取消的，同时扣除全部履约保证金的情形外，在本合同服务期限终止之日起五个工作日内甲方将无息退还乙方全部履约保证金。</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八、合同的有效期限和中止</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本合同自签定之日起生效，至</w:t>
      </w:r>
      <w:r>
        <w:rPr>
          <w:rFonts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年</w:t>
      </w:r>
      <w:r>
        <w:rPr>
          <w:rFonts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月</w:t>
      </w:r>
      <w:r>
        <w:rPr>
          <w:rFonts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日之前承接的项目服务期结束时终止。</w:t>
      </w:r>
    </w:p>
    <w:p>
      <w:pPr>
        <w:adjustRightInd w:val="0"/>
        <w:snapToGrid w:val="0"/>
        <w:spacing w:line="500" w:lineRule="exact"/>
        <w:ind w:firstLine="472" w:firstLineChars="196"/>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九、合同的文本及生效</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rPr>
        <w:t>、本合同一式肆份，甲乙方各执贰份，由双方代表人签字并加盖公章后即生效。</w:t>
      </w:r>
    </w:p>
    <w:p>
      <w:pPr>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w:t>
      </w:r>
      <w:r>
        <w:rPr>
          <w:rFonts w:hint="eastAsia" w:cs="宋体" w:asciiTheme="minorEastAsia" w:hAnsiTheme="minorEastAsia" w:eastAsiaTheme="minorEastAsia"/>
          <w:sz w:val="24"/>
          <w:szCs w:val="24"/>
          <w:highlight w:val="none"/>
        </w:rPr>
        <w:t>、本合同未涉及的部分以安徽兴叶工程咨询有限公司咨询服务合作供应商征集项目招标文件及其补充、修改文件为准，上述文件和乙方针对本项目的投标文件及承诺是本合同的附件，与本合同具有同等法律效力，但附件与主合同的规定不一致时，以主合同为准。</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3</w:t>
      </w:r>
      <w:r>
        <w:rPr>
          <w:rFonts w:hint="eastAsia" w:cs="宋体" w:asciiTheme="minorEastAsia" w:hAnsiTheme="minorEastAsia" w:eastAsiaTheme="minorEastAsia"/>
          <w:sz w:val="24"/>
          <w:szCs w:val="24"/>
          <w:highlight w:val="none"/>
        </w:rPr>
        <w:t>、本合同未尽事宜，均遵照国家有关法律、法规，经双方商议可续签补充合同，补充合同与本合同具有相同法律效力，但补充合同的内容不能实质性修改本合同的主要条款。</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4</w:t>
      </w:r>
      <w:r>
        <w:rPr>
          <w:rFonts w:hint="eastAsia" w:cs="宋体" w:asciiTheme="minorEastAsia" w:hAnsiTheme="minorEastAsia" w:eastAsiaTheme="minorEastAsia"/>
          <w:sz w:val="24"/>
          <w:szCs w:val="24"/>
          <w:highlight w:val="none"/>
        </w:rPr>
        <w:t>、争议解决办法：在本合同执行过程中如果发生争议，应友好解决，协商不成，任何一方均可向当地仲裁委员会申请仲裁。</w:t>
      </w:r>
    </w:p>
    <w:p>
      <w:pPr>
        <w:adjustRightInd w:val="0"/>
        <w:snapToGrid w:val="0"/>
        <w:spacing w:line="500" w:lineRule="exact"/>
        <w:ind w:firstLine="470" w:firstLineChars="196"/>
        <w:rPr>
          <w:rFonts w:cs="宋体" w:asciiTheme="minorEastAsia" w:hAnsiTheme="minorEastAsia" w:eastAsiaTheme="minorEastAsia"/>
          <w:sz w:val="24"/>
          <w:szCs w:val="24"/>
          <w:highlight w:val="none"/>
        </w:rPr>
      </w:pPr>
    </w:p>
    <w:p>
      <w:pPr>
        <w:pStyle w:val="24"/>
        <w:ind w:firstLine="200"/>
        <w:rPr>
          <w:highlight w:val="none"/>
        </w:rPr>
      </w:pPr>
    </w:p>
    <w:tbl>
      <w:tblPr>
        <w:tblStyle w:val="25"/>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724"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甲方：</w:t>
            </w:r>
            <w:r>
              <w:rPr>
                <w:rFonts w:hint="eastAsia" w:cs="宋体" w:asciiTheme="minorEastAsia" w:hAnsiTheme="minorEastAsia" w:eastAsiaTheme="minorEastAsia"/>
                <w:sz w:val="24"/>
                <w:szCs w:val="24"/>
                <w:highlight w:val="none"/>
                <w:u w:val="single"/>
              </w:rPr>
              <w:t>（签章）</w:t>
            </w:r>
          </w:p>
        </w:tc>
        <w:tc>
          <w:tcPr>
            <w:tcW w:w="4382"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乙方：</w:t>
            </w:r>
            <w:r>
              <w:rPr>
                <w:rFonts w:hint="eastAsia" w:cs="宋体" w:asciiTheme="minorEastAsia" w:hAnsiTheme="minorEastAsia" w:eastAsiaTheme="minorEastAsia"/>
                <w:sz w:val="24"/>
                <w:szCs w:val="24"/>
                <w:highlight w:val="none"/>
                <w:u w:val="single"/>
              </w:rPr>
              <w:t>公司（事务所）（签章）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24"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代表人：</w:t>
            </w:r>
            <w:r>
              <w:rPr>
                <w:rFonts w:hint="eastAsia" w:cs="宋体" w:asciiTheme="minorEastAsia" w:hAnsiTheme="minorEastAsia" w:eastAsiaTheme="minorEastAsia"/>
                <w:sz w:val="24"/>
                <w:szCs w:val="24"/>
                <w:highlight w:val="none"/>
                <w:u w:val="single"/>
              </w:rPr>
              <w:t>（签章）</w:t>
            </w:r>
          </w:p>
        </w:tc>
        <w:tc>
          <w:tcPr>
            <w:tcW w:w="4382"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代表人：</w:t>
            </w:r>
            <w:r>
              <w:rPr>
                <w:rFonts w:hint="eastAsia" w:cs="宋体" w:asciiTheme="minorEastAsia" w:hAnsiTheme="minorEastAsia" w:eastAsiaTheme="minorEastAsia"/>
                <w:sz w:val="24"/>
                <w:szCs w:val="24"/>
                <w:highlight w:val="none"/>
                <w:u w:val="singl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24"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或授权代理人：</w:t>
            </w:r>
          </w:p>
        </w:tc>
        <w:tc>
          <w:tcPr>
            <w:tcW w:w="4382"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或授权代理人：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724"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时间：</w:t>
            </w:r>
          </w:p>
        </w:tc>
        <w:tc>
          <w:tcPr>
            <w:tcW w:w="4382"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24"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联系电话：</w:t>
            </w:r>
          </w:p>
        </w:tc>
        <w:tc>
          <w:tcPr>
            <w:tcW w:w="4382"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724"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单位地址：</w:t>
            </w:r>
          </w:p>
        </w:tc>
        <w:tc>
          <w:tcPr>
            <w:tcW w:w="4382"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724" w:type="dxa"/>
            <w:vMerge w:val="restart"/>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签约日期：</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年</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月</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日</w:t>
            </w:r>
          </w:p>
        </w:tc>
        <w:tc>
          <w:tcPr>
            <w:tcW w:w="4382"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开户银行：</w:t>
            </w:r>
          </w:p>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724" w:type="dxa"/>
            <w:vMerge w:val="continue"/>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p>
        </w:tc>
        <w:tc>
          <w:tcPr>
            <w:tcW w:w="4382" w:type="dxa"/>
            <w:vAlign w:val="center"/>
          </w:tcPr>
          <w:p>
            <w:pPr>
              <w:adjustRightInd w:val="0"/>
              <w:snapToGrid w:val="0"/>
              <w:spacing w:line="420" w:lineRule="exact"/>
              <w:ind w:firstLine="470" w:firstLineChars="196"/>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签约日期：</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年</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月</w:t>
            </w: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rPr>
              <w:t>日</w:t>
            </w:r>
          </w:p>
          <w:p>
            <w:pPr>
              <w:adjustRightInd w:val="0"/>
              <w:snapToGrid w:val="0"/>
              <w:spacing w:line="420" w:lineRule="exact"/>
              <w:ind w:firstLine="470" w:firstLineChars="196"/>
              <w:rPr>
                <w:rFonts w:cs="宋体" w:asciiTheme="minorEastAsia" w:hAnsiTheme="minorEastAsia" w:eastAsiaTheme="minorEastAsia"/>
                <w:sz w:val="24"/>
                <w:szCs w:val="24"/>
                <w:highlight w:val="none"/>
              </w:rPr>
            </w:pPr>
          </w:p>
        </w:tc>
      </w:tr>
    </w:tbl>
    <w:p>
      <w:pPr>
        <w:spacing w:line="500" w:lineRule="exact"/>
        <w:rPr>
          <w:rFonts w:ascii="宋体"/>
          <w:sz w:val="24"/>
          <w:szCs w:val="24"/>
          <w:highlight w:val="none"/>
        </w:rPr>
      </w:pPr>
      <w:bookmarkStart w:id="9" w:name="_Toc386101320"/>
    </w:p>
    <w:p>
      <w:pPr>
        <w:spacing w:line="500" w:lineRule="exact"/>
        <w:rPr>
          <w:rFonts w:ascii="宋体"/>
          <w:highlight w:val="none"/>
        </w:rPr>
      </w:pPr>
    </w:p>
    <w:p>
      <w:pPr>
        <w:spacing w:line="500" w:lineRule="exact"/>
        <w:rPr>
          <w:rFonts w:ascii="宋体"/>
          <w:highlight w:val="none"/>
        </w:rPr>
      </w:pPr>
    </w:p>
    <w:p>
      <w:pPr>
        <w:spacing w:line="500" w:lineRule="exact"/>
        <w:rPr>
          <w:rFonts w:ascii="宋体"/>
          <w:highlight w:val="none"/>
        </w:rPr>
      </w:pPr>
    </w:p>
    <w:p>
      <w:pPr>
        <w:spacing w:line="500" w:lineRule="exact"/>
        <w:rPr>
          <w:rFonts w:ascii="宋体"/>
          <w:highlight w:val="none"/>
        </w:rPr>
      </w:pPr>
    </w:p>
    <w:p>
      <w:pPr>
        <w:widowControl/>
        <w:jc w:val="left"/>
        <w:rPr>
          <w:rFonts w:ascii="宋体"/>
          <w:highlight w:val="none"/>
        </w:rPr>
      </w:pPr>
      <w:r>
        <w:rPr>
          <w:rFonts w:ascii="宋体"/>
          <w:highlight w:val="none"/>
        </w:rPr>
        <w:br w:type="page"/>
      </w:r>
    </w:p>
    <w:p>
      <w:pPr>
        <w:pStyle w:val="6"/>
        <w:tabs>
          <w:tab w:val="left" w:pos="1125"/>
        </w:tabs>
        <w:spacing w:line="520" w:lineRule="exact"/>
        <w:jc w:val="center"/>
        <w:rPr>
          <w:rFonts w:ascii="宋体" w:hAnsi="宋体"/>
          <w:b w:val="0"/>
          <w:sz w:val="36"/>
          <w:szCs w:val="36"/>
          <w:highlight w:val="none"/>
          <w:shd w:val="clear" w:color="auto" w:fill="FFFFFF"/>
        </w:rPr>
      </w:pPr>
      <w:bookmarkStart w:id="10" w:name="_Toc477607231"/>
      <w:r>
        <w:rPr>
          <w:rFonts w:hint="eastAsia" w:ascii="宋体" w:hAnsi="宋体"/>
          <w:b w:val="0"/>
          <w:sz w:val="36"/>
          <w:szCs w:val="36"/>
          <w:highlight w:val="none"/>
          <w:shd w:val="clear" w:color="auto" w:fill="FFFFFF"/>
        </w:rPr>
        <w:t>第五章</w:t>
      </w:r>
      <w:r>
        <w:rPr>
          <w:rFonts w:ascii="宋体" w:hAnsi="宋体"/>
          <w:b w:val="0"/>
          <w:sz w:val="36"/>
          <w:szCs w:val="36"/>
          <w:highlight w:val="none"/>
          <w:shd w:val="clear" w:color="auto" w:fill="FFFFFF"/>
        </w:rPr>
        <w:t xml:space="preserve">  </w:t>
      </w:r>
      <w:bookmarkEnd w:id="10"/>
      <w:r>
        <w:rPr>
          <w:rFonts w:hint="eastAsia" w:ascii="宋体" w:hAnsi="宋体"/>
          <w:b w:val="0"/>
          <w:sz w:val="36"/>
          <w:szCs w:val="36"/>
          <w:highlight w:val="none"/>
          <w:shd w:val="clear" w:color="auto" w:fill="FFFFFF"/>
        </w:rPr>
        <w:t>咨询服务</w:t>
      </w:r>
      <w:r>
        <w:rPr>
          <w:rFonts w:hint="eastAsia" w:ascii="宋体" w:hAnsi="宋体"/>
          <w:b w:val="0"/>
          <w:sz w:val="36"/>
          <w:szCs w:val="36"/>
          <w:highlight w:val="none"/>
          <w:shd w:val="clear" w:color="auto" w:fill="FFFFFF"/>
          <w:lang w:val="en-US" w:eastAsia="zh-CN"/>
        </w:rPr>
        <w:t>合作</w:t>
      </w:r>
      <w:r>
        <w:rPr>
          <w:rFonts w:hint="eastAsia" w:ascii="宋体" w:hAnsi="宋体"/>
          <w:b w:val="0"/>
          <w:sz w:val="36"/>
          <w:szCs w:val="36"/>
          <w:highlight w:val="none"/>
          <w:shd w:val="clear" w:color="auto" w:fill="FFFFFF"/>
        </w:rPr>
        <w:t>供应商管理及业务承接办法</w:t>
      </w:r>
    </w:p>
    <w:p>
      <w:pPr>
        <w:shd w:val="solid" w:color="FFFFFF" w:fill="auto"/>
        <w:autoSpaceDN w:val="0"/>
        <w:snapToGrid w:val="0"/>
        <w:spacing w:line="312" w:lineRule="auto"/>
        <w:ind w:right="-34" w:firstLine="482"/>
        <w:jc w:val="left"/>
        <w:rPr>
          <w:rFonts w:ascii="宋体" w:hAnsi="宋体"/>
          <w:b/>
          <w:sz w:val="28"/>
          <w:szCs w:val="28"/>
          <w:highlight w:val="none"/>
          <w:shd w:val="clear" w:color="auto" w:fill="FFFFFF"/>
        </w:rPr>
      </w:pPr>
    </w:p>
    <w:p>
      <w:pPr>
        <w:shd w:val="solid" w:color="FFFFFF" w:fill="auto"/>
        <w:autoSpaceDN w:val="0"/>
        <w:snapToGrid w:val="0"/>
        <w:spacing w:line="312" w:lineRule="auto"/>
        <w:ind w:right="-34" w:firstLine="482"/>
        <w:jc w:val="left"/>
        <w:rPr>
          <w:rFonts w:ascii="宋体"/>
          <w:b/>
          <w:sz w:val="24"/>
          <w:szCs w:val="24"/>
          <w:highlight w:val="none"/>
        </w:rPr>
      </w:pPr>
      <w:r>
        <w:rPr>
          <w:rFonts w:ascii="宋体" w:hAnsi="宋体"/>
          <w:b/>
          <w:sz w:val="24"/>
          <w:szCs w:val="24"/>
          <w:highlight w:val="none"/>
        </w:rPr>
        <w:t>1</w:t>
      </w:r>
      <w:r>
        <w:rPr>
          <w:rFonts w:hint="eastAsia" w:ascii="宋体" w:hAnsi="宋体"/>
          <w:b/>
          <w:sz w:val="24"/>
          <w:szCs w:val="24"/>
          <w:highlight w:val="none"/>
        </w:rPr>
        <w:t>、总说明：</w:t>
      </w:r>
    </w:p>
    <w:p>
      <w:pPr>
        <w:shd w:val="solid" w:color="FFFFFF" w:fill="auto"/>
        <w:autoSpaceDN w:val="0"/>
        <w:snapToGrid w:val="0"/>
        <w:spacing w:line="312" w:lineRule="auto"/>
        <w:ind w:right="-34" w:firstLine="482"/>
        <w:jc w:val="left"/>
        <w:rPr>
          <w:rFonts w:hint="eastAsia" w:ascii="宋体" w:hAnsi="宋体" w:eastAsia="宋体" w:cs="Times New Roman"/>
          <w:sz w:val="24"/>
          <w:szCs w:val="24"/>
          <w:highlight w:val="none"/>
        </w:rPr>
      </w:pPr>
      <w:r>
        <w:rPr>
          <w:rFonts w:hint="eastAsia" w:ascii="宋体" w:hAnsi="宋体"/>
          <w:sz w:val="24"/>
          <w:szCs w:val="24"/>
          <w:highlight w:val="none"/>
        </w:rPr>
        <w:t>1.1、</w:t>
      </w:r>
      <w:r>
        <w:rPr>
          <w:rFonts w:hint="eastAsia" w:ascii="宋体" w:hAnsi="宋体" w:eastAsia="宋体" w:cs="Times New Roman"/>
          <w:sz w:val="24"/>
          <w:szCs w:val="24"/>
          <w:highlight w:val="none"/>
        </w:rPr>
        <w:t>征集不超过 14 家符合条件的供应商</w:t>
      </w:r>
      <w:r>
        <w:rPr>
          <w:rFonts w:hint="eastAsia" w:ascii="宋体" w:hAnsi="宋体" w:eastAsia="宋体" w:cs="Times New Roman"/>
          <w:sz w:val="24"/>
          <w:szCs w:val="24"/>
          <w:highlight w:val="none"/>
          <w:lang w:val="en-US" w:eastAsia="zh-CN"/>
        </w:rPr>
        <w:t>与</w:t>
      </w:r>
      <w:r>
        <w:rPr>
          <w:rFonts w:hint="eastAsia" w:ascii="宋体" w:hAnsi="宋体" w:eastAsia="宋体" w:cs="Times New Roman"/>
          <w:sz w:val="24"/>
          <w:szCs w:val="24"/>
          <w:highlight w:val="none"/>
        </w:rPr>
        <w:t>安徽兴叶工程咨询有限公司</w:t>
      </w:r>
      <w:r>
        <w:rPr>
          <w:rFonts w:hint="eastAsia" w:ascii="宋体" w:hAnsi="宋体" w:eastAsia="宋体" w:cs="Times New Roman"/>
          <w:sz w:val="24"/>
          <w:szCs w:val="24"/>
          <w:highlight w:val="none"/>
          <w:lang w:val="en-US" w:eastAsia="zh-CN"/>
        </w:rPr>
        <w:t>合作，</w:t>
      </w:r>
      <w:r>
        <w:rPr>
          <w:rFonts w:hint="eastAsia" w:ascii="宋体" w:hAnsi="宋体" w:eastAsia="宋体" w:cs="Times New Roman"/>
          <w:sz w:val="24"/>
          <w:szCs w:val="24"/>
          <w:highlight w:val="none"/>
        </w:rPr>
        <w:t>从事相关</w:t>
      </w:r>
      <w:r>
        <w:rPr>
          <w:rFonts w:hint="eastAsia" w:ascii="宋体" w:hAnsi="宋体" w:eastAsia="宋体" w:cs="Times New Roman"/>
          <w:sz w:val="24"/>
          <w:szCs w:val="24"/>
          <w:highlight w:val="none"/>
          <w:lang w:val="en-US" w:eastAsia="zh-CN"/>
        </w:rPr>
        <w:t>项目的</w:t>
      </w:r>
      <w:r>
        <w:rPr>
          <w:rFonts w:hint="eastAsia" w:ascii="宋体" w:hAnsi="宋体" w:eastAsia="宋体" w:cs="Times New Roman"/>
          <w:sz w:val="24"/>
          <w:szCs w:val="24"/>
          <w:highlight w:val="none"/>
        </w:rPr>
        <w:t>招标、采购、造价咨询服务(含工程量清单及控制价编制)，按评审得分从高到到低的顺序排名</w:t>
      </w:r>
      <w:r>
        <w:rPr>
          <w:rFonts w:hint="eastAsia" w:ascii="宋体" w:hAnsi="宋体"/>
          <w:sz w:val="24"/>
          <w:szCs w:val="24"/>
          <w:highlight w:val="none"/>
        </w:rPr>
        <w:t>，第1-8名作为</w:t>
      </w:r>
      <w:r>
        <w:rPr>
          <w:rFonts w:hint="eastAsia" w:ascii="宋体" w:hAnsi="宋体"/>
          <w:sz w:val="24"/>
          <w:szCs w:val="24"/>
          <w:highlight w:val="none"/>
          <w:lang w:val="en-US" w:eastAsia="zh-CN"/>
        </w:rPr>
        <w:t>主选供应商</w:t>
      </w:r>
      <w:r>
        <w:rPr>
          <w:rFonts w:hint="eastAsia" w:ascii="宋体" w:hAnsi="宋体"/>
          <w:sz w:val="24"/>
          <w:szCs w:val="24"/>
          <w:highlight w:val="none"/>
        </w:rPr>
        <w:t>，9-14名作为备选供应商。如出现有效投标人超过8家，不足14</w:t>
      </w:r>
      <w:r>
        <w:rPr>
          <w:rFonts w:hint="eastAsia" w:ascii="宋体" w:hAnsi="宋体" w:eastAsia="宋体" w:cs="Times New Roman"/>
          <w:sz w:val="24"/>
          <w:szCs w:val="24"/>
          <w:highlight w:val="none"/>
        </w:rPr>
        <w:t>家情形，</w:t>
      </w:r>
      <w:r>
        <w:rPr>
          <w:rFonts w:hint="eastAsia" w:ascii="宋体" w:hAnsi="宋体" w:eastAsia="宋体" w:cs="Times New Roman"/>
          <w:sz w:val="24"/>
          <w:szCs w:val="24"/>
          <w:highlight w:val="none"/>
          <w:lang w:val="en-US" w:eastAsia="zh-CN"/>
        </w:rPr>
        <w:t>主选</w:t>
      </w:r>
      <w:r>
        <w:rPr>
          <w:rFonts w:hint="eastAsia" w:ascii="宋体" w:hAnsi="宋体" w:eastAsia="宋体" w:cs="Times New Roman"/>
          <w:sz w:val="24"/>
          <w:szCs w:val="24"/>
          <w:highlight w:val="none"/>
        </w:rPr>
        <w:t>供应商仍推选8家，其余作为备选供应商；如出现有效投标人超过3家，不足8家的情形，所有供应商推选为中标供应商。</w:t>
      </w:r>
    </w:p>
    <w:p>
      <w:pPr>
        <w:shd w:val="solid" w:color="FFFFFF" w:fill="auto"/>
        <w:autoSpaceDN w:val="0"/>
        <w:snapToGrid w:val="0"/>
        <w:spacing w:line="312" w:lineRule="auto"/>
        <w:ind w:right="-34" w:firstLine="482"/>
        <w:jc w:val="left"/>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特殊情况说明：如出现投标人综合得分相同，得分相同的单位按签到时间的顺序往下排序，最终选14家。</w:t>
      </w:r>
      <w:r>
        <w:rPr>
          <w:rFonts w:hint="eastAsia" w:ascii="宋体" w:hAnsi="宋体" w:cs="Times New Roman"/>
          <w:b/>
          <w:bCs/>
          <w:sz w:val="24"/>
          <w:szCs w:val="24"/>
          <w:highlight w:val="none"/>
          <w:lang w:val="en-US" w:eastAsia="zh-CN"/>
        </w:rPr>
        <w:t>举例</w:t>
      </w:r>
      <w:r>
        <w:rPr>
          <w:rFonts w:hint="eastAsia" w:ascii="宋体" w:hAnsi="宋体" w:eastAsia="宋体" w:cs="Times New Roman"/>
          <w:b/>
          <w:bCs/>
          <w:sz w:val="24"/>
          <w:szCs w:val="24"/>
          <w:highlight w:val="none"/>
          <w:lang w:val="en-US" w:eastAsia="zh-CN"/>
        </w:rPr>
        <w:t>：A单位与B单位得分均为80分，排名为第四，A单位先签到，则推荐A单位为第4名，B单位为第5名，以此类推</w:t>
      </w:r>
      <w:r>
        <w:rPr>
          <w:rFonts w:hint="eastAsia" w:ascii="宋体" w:hAnsi="宋体" w:cs="Times New Roman"/>
          <w:b/>
          <w:bCs/>
          <w:sz w:val="24"/>
          <w:szCs w:val="24"/>
          <w:highlight w:val="none"/>
          <w:lang w:eastAsia="zh-CN"/>
        </w:rPr>
        <w:t>。</w:t>
      </w:r>
    </w:p>
    <w:p>
      <w:pPr>
        <w:shd w:val="solid" w:color="FFFFFF" w:fill="auto"/>
        <w:autoSpaceDN w:val="0"/>
        <w:snapToGrid w:val="0"/>
        <w:spacing w:line="312" w:lineRule="auto"/>
        <w:ind w:right="-34" w:firstLine="482"/>
        <w:jc w:val="left"/>
        <w:rPr>
          <w:rFonts w:hint="eastAsia" w:ascii="宋体" w:hAnsi="宋体"/>
          <w:sz w:val="24"/>
          <w:szCs w:val="24"/>
          <w:highlight w:val="none"/>
        </w:rPr>
      </w:pPr>
      <w:r>
        <w:rPr>
          <w:rFonts w:hint="eastAsia" w:ascii="宋体" w:hAnsi="宋体"/>
          <w:sz w:val="24"/>
          <w:szCs w:val="24"/>
          <w:highlight w:val="none"/>
        </w:rPr>
        <w:t>1.2、</w:t>
      </w:r>
      <w:r>
        <w:rPr>
          <w:rFonts w:hint="eastAsia" w:ascii="宋体" w:hAnsi="宋体"/>
          <w:sz w:val="24"/>
          <w:szCs w:val="24"/>
          <w:highlight w:val="none"/>
          <w:lang w:val="en-US" w:eastAsia="zh-CN"/>
        </w:rPr>
        <w:t>主选供应商</w:t>
      </w:r>
      <w:r>
        <w:rPr>
          <w:rFonts w:hint="eastAsia" w:ascii="宋体" w:hAnsi="宋体"/>
          <w:sz w:val="24"/>
          <w:szCs w:val="24"/>
          <w:highlight w:val="none"/>
          <w:lang w:eastAsia="zh-CN"/>
        </w:rPr>
        <w:t>（</w:t>
      </w:r>
      <w:r>
        <w:rPr>
          <w:rFonts w:hint="eastAsia" w:ascii="宋体" w:hAnsi="宋体"/>
          <w:sz w:val="24"/>
          <w:szCs w:val="24"/>
          <w:highlight w:val="none"/>
          <w:lang w:val="en-US" w:eastAsia="zh-CN"/>
        </w:rPr>
        <w:t>8家</w:t>
      </w:r>
      <w:r>
        <w:rPr>
          <w:rFonts w:hint="eastAsia" w:ascii="宋体" w:hAnsi="宋体"/>
          <w:sz w:val="24"/>
          <w:szCs w:val="24"/>
          <w:highlight w:val="none"/>
          <w:lang w:eastAsia="zh-CN"/>
        </w:rPr>
        <w:t>）</w:t>
      </w:r>
      <w:r>
        <w:rPr>
          <w:rFonts w:hint="eastAsia" w:ascii="宋体" w:hAnsi="宋体"/>
          <w:sz w:val="24"/>
          <w:szCs w:val="24"/>
          <w:highlight w:val="none"/>
        </w:rPr>
        <w:t>和备选供应商</w:t>
      </w:r>
      <w:r>
        <w:rPr>
          <w:rFonts w:hint="eastAsia" w:ascii="宋体" w:hAnsi="宋体"/>
          <w:sz w:val="24"/>
          <w:szCs w:val="24"/>
          <w:highlight w:val="none"/>
          <w:lang w:eastAsia="zh-CN"/>
        </w:rPr>
        <w:t>（</w:t>
      </w:r>
      <w:r>
        <w:rPr>
          <w:rFonts w:hint="eastAsia" w:ascii="宋体" w:hAnsi="宋体"/>
          <w:sz w:val="24"/>
          <w:szCs w:val="24"/>
          <w:highlight w:val="none"/>
          <w:lang w:val="en-US" w:eastAsia="zh-CN"/>
        </w:rPr>
        <w:t>6家</w:t>
      </w:r>
      <w:r>
        <w:rPr>
          <w:rFonts w:hint="eastAsia" w:ascii="宋体" w:hAnsi="宋体"/>
          <w:sz w:val="24"/>
          <w:szCs w:val="24"/>
          <w:highlight w:val="none"/>
          <w:lang w:eastAsia="zh-CN"/>
        </w:rPr>
        <w:t>）</w:t>
      </w:r>
      <w:r>
        <w:rPr>
          <w:rFonts w:hint="eastAsia" w:ascii="宋体" w:hAnsi="宋体"/>
          <w:sz w:val="24"/>
          <w:szCs w:val="24"/>
          <w:highlight w:val="none"/>
        </w:rPr>
        <w:t>管理：按相关规定办理手续，招标人建立备案名单，管理办法按附件</w:t>
      </w:r>
      <w:r>
        <w:rPr>
          <w:rFonts w:hint="eastAsia" w:ascii="宋体" w:hAnsi="宋体"/>
          <w:sz w:val="24"/>
          <w:szCs w:val="24"/>
          <w:highlight w:val="none"/>
          <w:lang w:val="en-US" w:eastAsia="zh-CN"/>
        </w:rPr>
        <w:t>《</w:t>
      </w:r>
      <w:r>
        <w:rPr>
          <w:rFonts w:hint="eastAsia" w:ascii="宋体" w:hAnsi="宋体"/>
          <w:sz w:val="24"/>
          <w:szCs w:val="24"/>
          <w:highlight w:val="none"/>
        </w:rPr>
        <w:t>六安市叶集区公共资源交易入选备案招标代理机构日常考评标准</w:t>
      </w:r>
      <w:r>
        <w:rPr>
          <w:rFonts w:hint="eastAsia" w:ascii="宋体" w:hAnsi="宋体"/>
          <w:sz w:val="24"/>
          <w:szCs w:val="24"/>
          <w:highlight w:val="none"/>
          <w:lang w:val="en-US" w:eastAsia="zh-CN"/>
        </w:rPr>
        <w:t>》</w:t>
      </w:r>
      <w:r>
        <w:rPr>
          <w:rFonts w:hint="eastAsia" w:ascii="宋体" w:hAnsi="宋体"/>
          <w:sz w:val="24"/>
          <w:szCs w:val="24"/>
          <w:highlight w:val="none"/>
        </w:rPr>
        <w:t>执行，</w:t>
      </w:r>
      <w:r>
        <w:rPr>
          <w:rFonts w:hint="eastAsia" w:ascii="宋体" w:hAnsi="宋体" w:eastAsia="宋体" w:cs="Times New Roman"/>
          <w:sz w:val="24"/>
          <w:szCs w:val="24"/>
          <w:highlight w:val="none"/>
        </w:rPr>
        <w:t>安徽兴叶工程咨询有限公司</w:t>
      </w:r>
      <w:r>
        <w:rPr>
          <w:rFonts w:hint="eastAsia" w:ascii="宋体" w:hAnsi="宋体" w:eastAsia="宋体" w:cs="Times New Roman"/>
          <w:sz w:val="24"/>
          <w:szCs w:val="24"/>
          <w:highlight w:val="none"/>
          <w:lang w:val="en-US" w:eastAsia="zh-CN"/>
        </w:rPr>
        <w:t>对中标</w:t>
      </w:r>
      <w:r>
        <w:rPr>
          <w:rFonts w:hint="eastAsia" w:ascii="宋体" w:hAnsi="宋体"/>
          <w:sz w:val="24"/>
          <w:szCs w:val="24"/>
          <w:highlight w:val="none"/>
        </w:rPr>
        <w:t>供应商</w:t>
      </w:r>
      <w:r>
        <w:rPr>
          <w:rFonts w:hint="eastAsia" w:ascii="宋体" w:hAnsi="宋体"/>
          <w:sz w:val="24"/>
          <w:szCs w:val="24"/>
          <w:highlight w:val="none"/>
          <w:lang w:eastAsia="zh-CN"/>
        </w:rPr>
        <w:t>（</w:t>
      </w:r>
      <w:r>
        <w:rPr>
          <w:rFonts w:hint="eastAsia" w:ascii="宋体" w:hAnsi="宋体"/>
          <w:sz w:val="24"/>
          <w:szCs w:val="24"/>
          <w:highlight w:val="none"/>
          <w:lang w:val="en-US" w:eastAsia="zh-CN"/>
        </w:rPr>
        <w:t>14家</w:t>
      </w:r>
      <w:r>
        <w:rPr>
          <w:rFonts w:hint="eastAsia" w:ascii="宋体" w:hAnsi="宋体"/>
          <w:sz w:val="24"/>
          <w:szCs w:val="24"/>
          <w:highlight w:val="none"/>
          <w:lang w:eastAsia="zh-CN"/>
        </w:rPr>
        <w:t>）</w:t>
      </w:r>
      <w:r>
        <w:rPr>
          <w:rFonts w:hint="eastAsia" w:ascii="宋体" w:hAnsi="宋体"/>
          <w:sz w:val="24"/>
          <w:szCs w:val="24"/>
          <w:highlight w:val="none"/>
        </w:rPr>
        <w:t>采取动态考核，循环管理，即：第1-8名供应商中出现考核不合格情形，由备选供应商按排序依次递补，递补名次为第8名，不合格供应商名次降为第14名，以此类推进行循环考核管理。</w:t>
      </w:r>
    </w:p>
    <w:p>
      <w:pPr>
        <w:shd w:val="solid" w:color="FFFFFF" w:fill="auto"/>
        <w:autoSpaceDN w:val="0"/>
        <w:snapToGrid w:val="0"/>
        <w:spacing w:line="312" w:lineRule="auto"/>
        <w:ind w:right="-34" w:firstLine="482"/>
        <w:jc w:val="left"/>
        <w:rPr>
          <w:rFonts w:hint="default" w:ascii="宋体" w:hAnsi="宋体"/>
          <w:sz w:val="24"/>
          <w:szCs w:val="24"/>
          <w:highlight w:val="none"/>
          <w:lang w:val="en-US" w:eastAsia="zh-CN"/>
        </w:rPr>
      </w:pPr>
      <w:r>
        <w:rPr>
          <w:rFonts w:hint="eastAsia" w:ascii="宋体" w:hAnsi="宋体"/>
          <w:sz w:val="24"/>
          <w:szCs w:val="24"/>
          <w:highlight w:val="none"/>
        </w:rPr>
        <w:t>1.3、本项目实行“末位淘汰”制度，</w:t>
      </w:r>
      <w:r>
        <w:rPr>
          <w:rFonts w:hint="eastAsia" w:ascii="宋体" w:hAnsi="宋体"/>
          <w:sz w:val="24"/>
          <w:szCs w:val="24"/>
          <w:highlight w:val="none"/>
          <w:lang w:val="en-US" w:eastAsia="zh-CN"/>
        </w:rPr>
        <w:t>每年综合考核两次，6月份考核一次，12月份考核一次，连续两次</w:t>
      </w:r>
      <w:r>
        <w:rPr>
          <w:rFonts w:hint="eastAsia" w:ascii="宋体" w:hAnsi="宋体"/>
          <w:sz w:val="24"/>
          <w:szCs w:val="24"/>
          <w:highlight w:val="none"/>
        </w:rPr>
        <w:t>考核得分排名</w:t>
      </w:r>
      <w:r>
        <w:rPr>
          <w:rFonts w:hint="eastAsia" w:ascii="宋体" w:hAnsi="宋体"/>
          <w:sz w:val="24"/>
          <w:szCs w:val="24"/>
          <w:highlight w:val="none"/>
          <w:lang w:val="en-US" w:eastAsia="zh-CN"/>
        </w:rPr>
        <w:t>均</w:t>
      </w:r>
      <w:r>
        <w:rPr>
          <w:rFonts w:hint="eastAsia" w:ascii="宋体" w:hAnsi="宋体"/>
          <w:sz w:val="24"/>
          <w:szCs w:val="24"/>
          <w:highlight w:val="none"/>
        </w:rPr>
        <w:t>为最后一名的供应商，自动清理出库。</w:t>
      </w:r>
      <w:r>
        <w:rPr>
          <w:rFonts w:hint="eastAsia" w:ascii="宋体" w:hAnsi="宋体"/>
          <w:sz w:val="24"/>
          <w:szCs w:val="24"/>
          <w:highlight w:val="none"/>
          <w:lang w:val="en-US" w:eastAsia="zh-CN"/>
        </w:rPr>
        <w:t>考核标准参照附件《</w:t>
      </w:r>
      <w:r>
        <w:rPr>
          <w:rFonts w:hint="eastAsia" w:ascii="宋体" w:hAnsi="宋体"/>
          <w:sz w:val="24"/>
          <w:szCs w:val="24"/>
          <w:highlight w:val="none"/>
        </w:rPr>
        <w:t>六安市叶集区公共资源交易入选备案招标代理机构日常考评标准</w:t>
      </w:r>
      <w:r>
        <w:rPr>
          <w:rFonts w:hint="eastAsia" w:ascii="宋体" w:hAnsi="宋体"/>
          <w:sz w:val="24"/>
          <w:szCs w:val="24"/>
          <w:highlight w:val="none"/>
          <w:lang w:val="en-US" w:eastAsia="zh-CN"/>
        </w:rPr>
        <w:t>》。在合作期限内，如因供应商原因对甲方造成严重影响，或受到行政处罚等（一票否决），该供应商将被直接清理出库。</w:t>
      </w:r>
    </w:p>
    <w:p>
      <w:pPr>
        <w:shd w:val="solid" w:color="FFFFFF" w:fill="auto"/>
        <w:autoSpaceDN w:val="0"/>
        <w:snapToGrid w:val="0"/>
        <w:spacing w:line="312" w:lineRule="auto"/>
        <w:ind w:right="-34" w:firstLine="482"/>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1.4、合作期限内，《</w:t>
      </w:r>
      <w:r>
        <w:rPr>
          <w:rFonts w:hint="eastAsia" w:ascii="宋体" w:hAnsi="宋体"/>
          <w:sz w:val="24"/>
          <w:szCs w:val="24"/>
          <w:highlight w:val="none"/>
        </w:rPr>
        <w:t>六安市叶集区公共资源交易入选备案招标代理机构日常考评标准</w:t>
      </w:r>
      <w:r>
        <w:rPr>
          <w:rFonts w:hint="eastAsia" w:ascii="宋体" w:hAnsi="宋体"/>
          <w:sz w:val="24"/>
          <w:szCs w:val="24"/>
          <w:highlight w:val="none"/>
          <w:lang w:val="en-US" w:eastAsia="zh-CN"/>
        </w:rPr>
        <w:t>》如有更新版本，执行新版本考核标准。</w:t>
      </w:r>
    </w:p>
    <w:p>
      <w:pPr>
        <w:shd w:val="solid" w:color="FFFFFF" w:fill="auto"/>
        <w:autoSpaceDN w:val="0"/>
        <w:snapToGrid w:val="0"/>
        <w:spacing w:line="312" w:lineRule="auto"/>
        <w:ind w:right="-34" w:firstLine="482"/>
        <w:jc w:val="left"/>
        <w:rPr>
          <w:rFonts w:ascii="宋体" w:hAnsi="宋体"/>
          <w:sz w:val="24"/>
          <w:szCs w:val="24"/>
          <w:highlight w:val="none"/>
        </w:rPr>
      </w:pPr>
      <w:r>
        <w:rPr>
          <w:rFonts w:ascii="宋体" w:hAnsi="宋体"/>
          <w:b/>
          <w:sz w:val="24"/>
          <w:szCs w:val="24"/>
          <w:highlight w:val="none"/>
        </w:rPr>
        <w:t>2</w:t>
      </w:r>
      <w:r>
        <w:rPr>
          <w:rFonts w:hint="eastAsia" w:ascii="宋体" w:hAnsi="宋体"/>
          <w:b/>
          <w:sz w:val="24"/>
          <w:szCs w:val="24"/>
          <w:highlight w:val="none"/>
        </w:rPr>
        <w:t>、业务承接范围分类和工作界限：</w:t>
      </w:r>
      <w:r>
        <w:rPr>
          <w:rFonts w:ascii="宋体"/>
          <w:b/>
          <w:sz w:val="24"/>
          <w:szCs w:val="24"/>
          <w:highlight w:val="none"/>
        </w:rPr>
        <w:t xml:space="preserve"> </w:t>
      </w:r>
      <w:r>
        <w:rPr>
          <w:rFonts w:hint="eastAsia" w:ascii="宋体" w:hAnsi="宋体"/>
          <w:sz w:val="24"/>
          <w:szCs w:val="24"/>
          <w:highlight w:val="none"/>
        </w:rPr>
        <w:t>咨询服务</w:t>
      </w:r>
      <w:r>
        <w:rPr>
          <w:rFonts w:hint="eastAsia" w:ascii="宋体" w:hAnsi="宋体"/>
          <w:sz w:val="24"/>
          <w:szCs w:val="24"/>
          <w:highlight w:val="none"/>
          <w:lang w:val="en-US" w:eastAsia="zh-CN"/>
        </w:rPr>
        <w:t>合作</w:t>
      </w:r>
      <w:r>
        <w:rPr>
          <w:rFonts w:hint="eastAsia" w:ascii="宋体" w:hAnsi="宋体"/>
          <w:sz w:val="24"/>
          <w:szCs w:val="24"/>
          <w:highlight w:val="none"/>
        </w:rPr>
        <w:t>供应商承接的业务类型分为招标、政府采购、工程造价咨询三类，实行分类管理。</w:t>
      </w:r>
    </w:p>
    <w:p>
      <w:pPr>
        <w:shd w:val="solid" w:color="FFFFFF" w:fill="auto"/>
        <w:autoSpaceDN w:val="0"/>
        <w:snapToGrid w:val="0"/>
        <w:spacing w:line="312" w:lineRule="auto"/>
        <w:ind w:right="-34" w:firstLine="482"/>
        <w:jc w:val="left"/>
        <w:rPr>
          <w:rFonts w:ascii="宋体" w:hAnsi="宋体"/>
          <w:sz w:val="24"/>
          <w:szCs w:val="24"/>
          <w:highlight w:val="none"/>
        </w:rPr>
      </w:pPr>
      <w:r>
        <w:rPr>
          <w:rFonts w:hint="eastAsia" w:ascii="宋体" w:hAnsi="宋体"/>
          <w:sz w:val="24"/>
          <w:szCs w:val="24"/>
          <w:highlight w:val="none"/>
        </w:rPr>
        <w:t>2.1、招标工作界限：包括但不限于编制招标实施方案；拟定工作进度计划；编制招标公告、招标文件；招标文件等技术资料的答疑澄清；组织开评标会议；整理评标报告并办理相关备案手续；发放中标通知书；协助甲方签订合同；其它咨询业务和甲方交办的其它工作。</w:t>
      </w:r>
    </w:p>
    <w:p>
      <w:pPr>
        <w:shd w:val="solid" w:color="FFFFFF" w:fill="auto"/>
        <w:autoSpaceDN w:val="0"/>
        <w:snapToGrid w:val="0"/>
        <w:spacing w:line="312" w:lineRule="auto"/>
        <w:ind w:right="-34" w:firstLine="482"/>
        <w:jc w:val="left"/>
        <w:rPr>
          <w:rFonts w:ascii="宋体" w:hAnsi="宋体"/>
          <w:sz w:val="24"/>
          <w:szCs w:val="24"/>
          <w:highlight w:val="none"/>
        </w:rPr>
      </w:pPr>
      <w:r>
        <w:rPr>
          <w:rFonts w:hint="eastAsia" w:ascii="宋体" w:hAnsi="宋体"/>
          <w:sz w:val="24"/>
          <w:szCs w:val="24"/>
          <w:highlight w:val="none"/>
        </w:rPr>
        <w:t>2.2、政府采购工作界限：包括但不限于编制招标实施方案；拟定工作进度计划；编制招标公告、招标文件；招标文件等技术资料的答疑澄清；组织技术参数论证、评审（如需）；组织开评标会议；整理评标报告并办理相关备案手续；发放中标通知书；协助甲方签订合同；其它咨询业务和甲方交办的其它工作。</w:t>
      </w:r>
    </w:p>
    <w:p>
      <w:pPr>
        <w:shd w:val="solid" w:color="FFFFFF" w:fill="auto"/>
        <w:autoSpaceDN w:val="0"/>
        <w:snapToGrid w:val="0"/>
        <w:spacing w:line="312" w:lineRule="auto"/>
        <w:ind w:right="-34" w:firstLine="482"/>
        <w:jc w:val="left"/>
        <w:rPr>
          <w:rFonts w:ascii="宋体" w:hAnsi="宋体"/>
          <w:sz w:val="24"/>
          <w:szCs w:val="24"/>
          <w:highlight w:val="none"/>
        </w:rPr>
      </w:pPr>
      <w:r>
        <w:rPr>
          <w:rFonts w:hint="eastAsia" w:ascii="宋体" w:hAnsi="宋体"/>
          <w:sz w:val="24"/>
          <w:szCs w:val="24"/>
          <w:highlight w:val="none"/>
        </w:rPr>
        <w:t>2.3、工程造价咨询界限：包括但不限于踏勘现场（如需）；图纸答疑澄清；工程量清单编制；控制价编制；其它咨询业务和甲方交办的其它工作。</w:t>
      </w:r>
    </w:p>
    <w:p>
      <w:pPr>
        <w:shd w:val="solid" w:color="FFFFFF" w:fill="auto"/>
        <w:autoSpaceDN w:val="0"/>
        <w:snapToGrid w:val="0"/>
        <w:spacing w:line="312" w:lineRule="auto"/>
        <w:ind w:right="-34" w:firstLine="482"/>
        <w:jc w:val="left"/>
        <w:rPr>
          <w:rFonts w:ascii="宋体" w:hAnsi="宋体"/>
          <w:b/>
          <w:bCs/>
          <w:sz w:val="24"/>
          <w:szCs w:val="24"/>
          <w:highlight w:val="none"/>
        </w:rPr>
      </w:pPr>
      <w:r>
        <w:rPr>
          <w:rFonts w:hint="eastAsia" w:ascii="宋体" w:hAnsi="宋体"/>
          <w:b/>
          <w:bCs/>
          <w:sz w:val="24"/>
          <w:szCs w:val="24"/>
          <w:highlight w:val="none"/>
        </w:rPr>
        <w:t>3、业务承接：</w:t>
      </w:r>
    </w:p>
    <w:p>
      <w:pPr>
        <w:shd w:val="solid" w:color="FFFFFF" w:fill="auto"/>
        <w:autoSpaceDN w:val="0"/>
        <w:snapToGrid w:val="0"/>
        <w:spacing w:line="312" w:lineRule="auto"/>
        <w:ind w:right="-34" w:firstLine="482"/>
        <w:jc w:val="left"/>
        <w:rPr>
          <w:rFonts w:ascii="宋体" w:hAnsi="宋体"/>
          <w:sz w:val="24"/>
          <w:szCs w:val="24"/>
          <w:highlight w:val="none"/>
        </w:rPr>
      </w:pPr>
      <w:r>
        <w:rPr>
          <w:rFonts w:ascii="宋体" w:hAnsi="宋体"/>
          <w:sz w:val="24"/>
          <w:szCs w:val="24"/>
          <w:highlight w:val="none"/>
        </w:rPr>
        <w:t>3.1</w:t>
      </w: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咨询</w:t>
      </w:r>
      <w:r>
        <w:rPr>
          <w:rFonts w:hint="eastAsia" w:ascii="宋体" w:hAnsi="宋体"/>
          <w:sz w:val="24"/>
          <w:szCs w:val="24"/>
          <w:highlight w:val="none"/>
          <w:lang w:val="en-US" w:eastAsia="zh-CN"/>
        </w:rPr>
        <w:t>服务合作</w:t>
      </w:r>
      <w:r>
        <w:rPr>
          <w:rFonts w:hint="eastAsia" w:ascii="宋体" w:hAnsi="宋体"/>
          <w:sz w:val="24"/>
          <w:szCs w:val="24"/>
          <w:highlight w:val="none"/>
        </w:rPr>
        <w:t>服务供应商</w:t>
      </w:r>
      <w:r>
        <w:rPr>
          <w:rFonts w:hint="eastAsia" w:ascii="宋体" w:hAnsi="宋体" w:eastAsia="宋体" w:cs="Times New Roman"/>
          <w:sz w:val="24"/>
          <w:szCs w:val="24"/>
          <w:highlight w:val="none"/>
          <w:lang w:val="en-US" w:eastAsia="zh-CN"/>
        </w:rPr>
        <w:t>与</w:t>
      </w:r>
      <w:r>
        <w:rPr>
          <w:rFonts w:hint="eastAsia" w:ascii="宋体" w:hAnsi="宋体" w:eastAsia="宋体" w:cs="Times New Roman"/>
          <w:sz w:val="24"/>
          <w:szCs w:val="24"/>
          <w:highlight w:val="none"/>
        </w:rPr>
        <w:t>安徽兴叶工程咨询有限公司</w:t>
      </w:r>
      <w:r>
        <w:rPr>
          <w:rFonts w:hint="eastAsia" w:ascii="宋体" w:hAnsi="宋体" w:eastAsia="宋体" w:cs="Times New Roman"/>
          <w:sz w:val="24"/>
          <w:szCs w:val="24"/>
          <w:highlight w:val="none"/>
          <w:lang w:val="en-US" w:eastAsia="zh-CN"/>
        </w:rPr>
        <w:t>合作，</w:t>
      </w:r>
      <w:r>
        <w:rPr>
          <w:rFonts w:hint="eastAsia" w:ascii="宋体" w:hAnsi="宋体" w:eastAsia="宋体" w:cs="Times New Roman"/>
          <w:sz w:val="24"/>
          <w:szCs w:val="24"/>
          <w:highlight w:val="none"/>
        </w:rPr>
        <w:t>从事相关</w:t>
      </w:r>
      <w:r>
        <w:rPr>
          <w:rFonts w:hint="eastAsia" w:ascii="宋体" w:hAnsi="宋体" w:eastAsia="宋体" w:cs="Times New Roman"/>
          <w:sz w:val="24"/>
          <w:szCs w:val="24"/>
          <w:highlight w:val="none"/>
          <w:lang w:val="en-US" w:eastAsia="zh-CN"/>
        </w:rPr>
        <w:t>项目的</w:t>
      </w:r>
      <w:r>
        <w:rPr>
          <w:rFonts w:hint="eastAsia" w:ascii="宋体" w:hAnsi="宋体" w:eastAsia="宋体" w:cs="Times New Roman"/>
          <w:sz w:val="24"/>
          <w:szCs w:val="24"/>
          <w:highlight w:val="none"/>
        </w:rPr>
        <w:t>招标、采购、造价咨询服务(含工程量清单及控制价编制)</w:t>
      </w:r>
      <w:r>
        <w:rPr>
          <w:rFonts w:hint="eastAsia" w:ascii="宋体" w:hAnsi="宋体"/>
          <w:sz w:val="24"/>
          <w:szCs w:val="24"/>
          <w:highlight w:val="none"/>
        </w:rPr>
        <w:t>，服从分配方案。</w:t>
      </w:r>
    </w:p>
    <w:p>
      <w:pPr>
        <w:shd w:val="solid" w:color="FFFFFF" w:fill="auto"/>
        <w:autoSpaceDN w:val="0"/>
        <w:snapToGrid w:val="0"/>
        <w:spacing w:line="312" w:lineRule="auto"/>
        <w:ind w:right="-34" w:firstLine="482"/>
        <w:jc w:val="left"/>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2、承接业务办法</w:t>
      </w:r>
    </w:p>
    <w:p>
      <w:pPr>
        <w:shd w:val="solid" w:color="FFFFFF" w:fill="auto"/>
        <w:autoSpaceDN w:val="0"/>
        <w:snapToGrid w:val="0"/>
        <w:spacing w:line="312" w:lineRule="auto"/>
        <w:ind w:right="-34" w:firstLine="482"/>
        <w:jc w:val="left"/>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2</w:t>
      </w:r>
      <w:r>
        <w:rPr>
          <w:rFonts w:ascii="宋体" w:hAnsi="宋体"/>
          <w:sz w:val="24"/>
          <w:szCs w:val="24"/>
          <w:highlight w:val="none"/>
        </w:rPr>
        <w:t>.1</w:t>
      </w:r>
      <w:r>
        <w:rPr>
          <w:rFonts w:hint="eastAsia" w:ascii="宋体" w:hAnsi="宋体"/>
          <w:sz w:val="24"/>
          <w:szCs w:val="24"/>
          <w:highlight w:val="none"/>
        </w:rPr>
        <w:t>、安徽兴叶工程咨询有限公司根据项目进展和业务类型</w:t>
      </w:r>
      <w:r>
        <w:rPr>
          <w:rFonts w:hint="eastAsia" w:ascii="宋体" w:hAnsi="宋体"/>
          <w:sz w:val="24"/>
          <w:szCs w:val="24"/>
          <w:highlight w:val="none"/>
          <w:lang w:val="en-US" w:eastAsia="zh-CN"/>
        </w:rPr>
        <w:t>从主选供应商单位名单</w:t>
      </w:r>
      <w:r>
        <w:rPr>
          <w:rFonts w:hint="eastAsia" w:ascii="宋体" w:hAnsi="宋体"/>
          <w:sz w:val="24"/>
          <w:szCs w:val="24"/>
          <w:highlight w:val="none"/>
        </w:rPr>
        <w:t>按中标入围顺序分配业务，供应商不得拒绝，否则直接按管理办法调整为备选供应商。</w:t>
      </w:r>
    </w:p>
    <w:p>
      <w:pPr>
        <w:shd w:val="solid" w:color="FFFFFF" w:fill="auto"/>
        <w:autoSpaceDN w:val="0"/>
        <w:snapToGrid w:val="0"/>
        <w:spacing w:line="312" w:lineRule="auto"/>
        <w:ind w:right="-34" w:firstLine="482"/>
        <w:jc w:val="left"/>
        <w:rPr>
          <w:rFonts w:ascii="宋体" w:hAnsi="宋体"/>
          <w:sz w:val="24"/>
          <w:szCs w:val="24"/>
          <w:highlight w:val="none"/>
        </w:rPr>
      </w:pPr>
      <w:r>
        <w:rPr>
          <w:rFonts w:hint="eastAsia" w:ascii="宋体" w:hAnsi="宋体"/>
          <w:sz w:val="24"/>
          <w:szCs w:val="24"/>
          <w:highlight w:val="none"/>
        </w:rPr>
        <w:t>3.2.2、土建工程项目以特殊方式招标（如</w:t>
      </w:r>
      <w:r>
        <w:rPr>
          <w:rFonts w:ascii="宋体" w:hAnsi="宋体"/>
          <w:sz w:val="24"/>
          <w:szCs w:val="24"/>
          <w:highlight w:val="none"/>
        </w:rPr>
        <w:t xml:space="preserve"> EPC、PPP </w:t>
      </w:r>
      <w:r>
        <w:rPr>
          <w:rFonts w:hint="eastAsia" w:ascii="宋体" w:hAnsi="宋体"/>
          <w:sz w:val="24"/>
          <w:szCs w:val="24"/>
          <w:highlight w:val="none"/>
        </w:rPr>
        <w:t>等方式招标）或者有极为特殊的原因，需要</w:t>
      </w:r>
      <w:r>
        <w:rPr>
          <w:rFonts w:hint="eastAsia" w:ascii="宋体" w:hAnsi="宋体"/>
          <w:sz w:val="24"/>
          <w:szCs w:val="24"/>
          <w:highlight w:val="none"/>
          <w:lang w:val="en-US" w:eastAsia="zh-CN"/>
        </w:rPr>
        <w:t>咨询服务供应商</w:t>
      </w:r>
      <w:r>
        <w:rPr>
          <w:rFonts w:hint="eastAsia" w:ascii="宋体" w:hAnsi="宋体"/>
          <w:sz w:val="24"/>
          <w:szCs w:val="24"/>
          <w:highlight w:val="none"/>
        </w:rPr>
        <w:t>具有强大的咨询服务能力，只有个别单位能够满足的，经</w:t>
      </w:r>
      <w:r>
        <w:rPr>
          <w:rFonts w:hint="eastAsia" w:ascii="宋体" w:hAnsi="宋体" w:eastAsia="宋体" w:cs="Times New Roman"/>
          <w:sz w:val="24"/>
          <w:szCs w:val="24"/>
          <w:highlight w:val="none"/>
        </w:rPr>
        <w:t>安徽兴叶工程咨询有限公司</w:t>
      </w:r>
      <w:r>
        <w:rPr>
          <w:rFonts w:hint="eastAsia" w:ascii="宋体" w:hAnsi="宋体"/>
          <w:sz w:val="24"/>
          <w:szCs w:val="24"/>
          <w:highlight w:val="none"/>
        </w:rPr>
        <w:t>党委（党组）会议集体研究，可以直接从</w:t>
      </w:r>
      <w:r>
        <w:rPr>
          <w:rFonts w:hint="eastAsia" w:ascii="宋体" w:hAnsi="宋体"/>
          <w:sz w:val="24"/>
          <w:szCs w:val="24"/>
          <w:highlight w:val="none"/>
          <w:lang w:val="en-US" w:eastAsia="zh-CN"/>
        </w:rPr>
        <w:t>主选</w:t>
      </w:r>
      <w:r>
        <w:rPr>
          <w:rFonts w:hint="eastAsia" w:ascii="宋体" w:hAnsi="宋体"/>
          <w:sz w:val="24"/>
          <w:szCs w:val="24"/>
          <w:highlight w:val="none"/>
        </w:rPr>
        <w:t>咨询服务</w:t>
      </w:r>
      <w:r>
        <w:rPr>
          <w:rFonts w:hint="eastAsia" w:ascii="宋体" w:hAnsi="宋体"/>
          <w:sz w:val="24"/>
          <w:szCs w:val="24"/>
          <w:highlight w:val="none"/>
          <w:lang w:val="en-US" w:eastAsia="zh-CN"/>
        </w:rPr>
        <w:t>合作供应商（8家）</w:t>
      </w:r>
      <w:r>
        <w:rPr>
          <w:rFonts w:hint="eastAsia" w:ascii="宋体" w:hAnsi="宋体"/>
          <w:sz w:val="24"/>
          <w:szCs w:val="24"/>
          <w:highlight w:val="none"/>
        </w:rPr>
        <w:t>名单中选择一家资质符合的单位从事相关咨询业务。</w:t>
      </w:r>
    </w:p>
    <w:p>
      <w:pPr>
        <w:shd w:val="solid" w:color="FFFFFF" w:fill="auto"/>
        <w:autoSpaceDN w:val="0"/>
        <w:snapToGrid w:val="0"/>
        <w:spacing w:line="312" w:lineRule="auto"/>
        <w:ind w:right="-34" w:firstLine="482"/>
        <w:jc w:val="left"/>
        <w:rPr>
          <w:rFonts w:ascii="宋体"/>
          <w:b/>
          <w:sz w:val="24"/>
          <w:szCs w:val="24"/>
          <w:highlight w:val="none"/>
        </w:rPr>
      </w:pPr>
      <w:r>
        <w:rPr>
          <w:rFonts w:ascii="宋体" w:hAnsi="宋体"/>
          <w:b/>
          <w:sz w:val="24"/>
          <w:szCs w:val="24"/>
          <w:highlight w:val="none"/>
        </w:rPr>
        <w:t>4</w:t>
      </w:r>
      <w:r>
        <w:rPr>
          <w:rFonts w:hint="eastAsia" w:ascii="宋体" w:hAnsi="宋体"/>
          <w:b/>
          <w:sz w:val="24"/>
          <w:szCs w:val="24"/>
          <w:highlight w:val="none"/>
        </w:rPr>
        <w:t>、考核及动态管理：</w:t>
      </w:r>
    </w:p>
    <w:p>
      <w:pPr>
        <w:snapToGrid w:val="0"/>
        <w:spacing w:line="312" w:lineRule="auto"/>
        <w:ind w:firstLine="480" w:firstLineChars="200"/>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暂按照《六安市叶集区公共资源交易入选备案招标代理机构日常考评标准》执行（见附件）。</w:t>
      </w:r>
    </w:p>
    <w:p>
      <w:pPr>
        <w:shd w:val="solid" w:color="FFFFFF" w:fill="auto"/>
        <w:autoSpaceDN w:val="0"/>
        <w:snapToGrid w:val="0"/>
        <w:spacing w:line="312" w:lineRule="auto"/>
        <w:ind w:right="-34" w:firstLine="482"/>
        <w:jc w:val="left"/>
        <w:rPr>
          <w:rFonts w:hint="eastAsia" w:ascii="宋体" w:hAnsi="宋体" w:eastAsia="宋体"/>
          <w:b/>
          <w:bCs/>
          <w:sz w:val="24"/>
          <w:szCs w:val="24"/>
          <w:highlight w:val="none"/>
          <w:lang w:eastAsia="zh-CN"/>
        </w:rPr>
      </w:pPr>
      <w:r>
        <w:rPr>
          <w:rFonts w:ascii="宋体" w:hAnsi="宋体"/>
          <w:b/>
          <w:bCs/>
          <w:sz w:val="24"/>
          <w:szCs w:val="24"/>
          <w:highlight w:val="none"/>
        </w:rPr>
        <w:t>5、咨询服务收费标准</w:t>
      </w:r>
      <w:r>
        <w:rPr>
          <w:rFonts w:hint="eastAsia" w:ascii="宋体" w:hAnsi="宋体"/>
          <w:b/>
          <w:bCs/>
          <w:sz w:val="24"/>
          <w:szCs w:val="24"/>
          <w:highlight w:val="none"/>
          <w:lang w:val="en-US" w:eastAsia="zh-CN"/>
        </w:rPr>
        <w:t>执行国家或地方规定的相关项目</w:t>
      </w:r>
      <w:r>
        <w:rPr>
          <w:rFonts w:hint="eastAsia" w:ascii="宋体" w:hAnsi="宋体"/>
          <w:b/>
          <w:bCs/>
          <w:sz w:val="24"/>
          <w:szCs w:val="24"/>
          <w:highlight w:val="none"/>
        </w:rPr>
        <w:t>收费标准的10</w:t>
      </w:r>
      <w:r>
        <w:rPr>
          <w:rFonts w:ascii="宋体" w:hAnsi="宋体"/>
          <w:b/>
          <w:bCs/>
          <w:sz w:val="24"/>
          <w:szCs w:val="24"/>
          <w:highlight w:val="none"/>
        </w:rPr>
        <w:t>0%</w:t>
      </w:r>
      <w:r>
        <w:rPr>
          <w:rFonts w:hint="eastAsia" w:ascii="宋体" w:hAnsi="宋体"/>
          <w:b/>
          <w:bCs/>
          <w:sz w:val="24"/>
          <w:szCs w:val="24"/>
          <w:highlight w:val="none"/>
          <w:lang w:eastAsia="zh-CN"/>
        </w:rPr>
        <w:t>。</w:t>
      </w:r>
    </w:p>
    <w:p>
      <w:pPr>
        <w:shd w:val="solid" w:color="FFFFFF" w:fill="auto"/>
        <w:autoSpaceDN w:val="0"/>
        <w:snapToGrid w:val="0"/>
        <w:spacing w:line="312" w:lineRule="auto"/>
        <w:ind w:right="-34" w:firstLine="482"/>
        <w:jc w:val="left"/>
        <w:rPr>
          <w:rFonts w:ascii="宋体" w:hAnsi="宋体"/>
          <w:b/>
          <w:sz w:val="24"/>
          <w:szCs w:val="24"/>
          <w:highlight w:val="none"/>
        </w:rPr>
      </w:pPr>
      <w:r>
        <w:rPr>
          <w:rFonts w:hint="eastAsia" w:ascii="宋体" w:hAnsi="宋体"/>
          <w:b/>
          <w:sz w:val="24"/>
          <w:szCs w:val="24"/>
          <w:highlight w:val="none"/>
        </w:rPr>
        <w:t>6、</w:t>
      </w:r>
      <w:r>
        <w:rPr>
          <w:rFonts w:hint="eastAsia" w:ascii="宋体" w:hAnsi="宋体"/>
          <w:b/>
          <w:sz w:val="24"/>
          <w:szCs w:val="24"/>
          <w:highlight w:val="none"/>
          <w:lang w:val="en-US" w:eastAsia="zh-CN"/>
        </w:rPr>
        <w:t>咨询服务项目</w:t>
      </w:r>
      <w:r>
        <w:rPr>
          <w:rFonts w:hint="eastAsia" w:ascii="宋体" w:hAnsi="宋体"/>
          <w:b/>
          <w:sz w:val="24"/>
          <w:szCs w:val="24"/>
          <w:highlight w:val="none"/>
        </w:rPr>
        <w:t>收费</w:t>
      </w:r>
      <w:r>
        <w:rPr>
          <w:rFonts w:hint="eastAsia" w:ascii="宋体" w:hAnsi="宋体" w:eastAsia="宋体" w:cs="Times New Roman"/>
          <w:b/>
          <w:sz w:val="24"/>
          <w:szCs w:val="24"/>
          <w:highlight w:val="none"/>
        </w:rPr>
        <w:t>由安徽兴叶工程咨询有限公司向有关中标单位收取。安徽兴叶工程咨询有限公司与咨询服务</w:t>
      </w:r>
      <w:r>
        <w:rPr>
          <w:rFonts w:hint="eastAsia" w:ascii="宋体" w:hAnsi="宋体" w:eastAsia="宋体" w:cs="Times New Roman"/>
          <w:b/>
          <w:sz w:val="24"/>
          <w:szCs w:val="24"/>
          <w:highlight w:val="none"/>
          <w:lang w:val="en-US" w:eastAsia="zh-CN"/>
        </w:rPr>
        <w:t>合作</w:t>
      </w:r>
      <w:r>
        <w:rPr>
          <w:rFonts w:hint="eastAsia" w:ascii="宋体" w:hAnsi="宋体"/>
          <w:b/>
          <w:sz w:val="24"/>
          <w:szCs w:val="24"/>
          <w:highlight w:val="none"/>
        </w:rPr>
        <w:t>供应商的费用分成比例为：</w:t>
      </w:r>
    </w:p>
    <w:p>
      <w:pPr>
        <w:shd w:val="solid" w:color="FFFFFF" w:fill="auto"/>
        <w:autoSpaceDN w:val="0"/>
        <w:snapToGrid w:val="0"/>
        <w:spacing w:line="312" w:lineRule="auto"/>
        <w:ind w:right="-34" w:firstLine="482"/>
        <w:jc w:val="left"/>
        <w:rPr>
          <w:rFonts w:ascii="宋体" w:hAnsi="宋体"/>
          <w:b/>
          <w:sz w:val="24"/>
          <w:szCs w:val="24"/>
          <w:highlight w:val="none"/>
        </w:rPr>
      </w:pPr>
      <w:r>
        <w:rPr>
          <w:rFonts w:hint="eastAsia" w:ascii="宋体" w:hAnsi="宋体"/>
          <w:b/>
          <w:sz w:val="24"/>
          <w:szCs w:val="24"/>
          <w:highlight w:val="none"/>
          <w:lang w:val="en-US" w:eastAsia="zh-CN"/>
        </w:rPr>
        <w:t>6.1、</w:t>
      </w:r>
      <w:r>
        <w:rPr>
          <w:rFonts w:hint="eastAsia" w:ascii="宋体" w:hAnsi="宋体"/>
          <w:b/>
          <w:sz w:val="24"/>
          <w:szCs w:val="24"/>
          <w:highlight w:val="none"/>
        </w:rPr>
        <w:t>招标类</w:t>
      </w:r>
      <w:r>
        <w:rPr>
          <w:rFonts w:hint="eastAsia" w:ascii="宋体" w:hAnsi="宋体"/>
          <w:b/>
          <w:bCs w:val="0"/>
          <w:sz w:val="24"/>
          <w:szCs w:val="24"/>
          <w:highlight w:val="none"/>
          <w:lang w:eastAsia="zh-CN"/>
        </w:rPr>
        <w:t>（</w:t>
      </w:r>
      <w:r>
        <w:rPr>
          <w:rFonts w:hint="eastAsia" w:ascii="宋体" w:hAnsi="宋体"/>
          <w:b/>
          <w:bCs w:val="0"/>
          <w:sz w:val="24"/>
          <w:szCs w:val="24"/>
          <w:highlight w:val="none"/>
          <w:lang w:val="en-US" w:eastAsia="zh-CN"/>
        </w:rPr>
        <w:t>不包含政府采购类</w:t>
      </w:r>
      <w:r>
        <w:rPr>
          <w:rFonts w:hint="eastAsia" w:ascii="宋体" w:hAnsi="宋体"/>
          <w:b/>
          <w:bCs w:val="0"/>
          <w:sz w:val="24"/>
          <w:szCs w:val="24"/>
          <w:highlight w:val="none"/>
          <w:lang w:eastAsia="zh-CN"/>
        </w:rPr>
        <w:t>）</w:t>
      </w:r>
      <w:r>
        <w:rPr>
          <w:rFonts w:hint="eastAsia" w:ascii="宋体" w:hAnsi="宋体"/>
          <w:b/>
          <w:sz w:val="24"/>
          <w:szCs w:val="24"/>
          <w:highlight w:val="none"/>
        </w:rPr>
        <w:t>：7:3。</w:t>
      </w:r>
    </w:p>
    <w:p>
      <w:pPr>
        <w:shd w:val="solid" w:color="FFFFFF" w:fill="auto"/>
        <w:autoSpaceDN w:val="0"/>
        <w:snapToGrid w:val="0"/>
        <w:spacing w:line="312" w:lineRule="auto"/>
        <w:ind w:right="-34" w:firstLine="482"/>
        <w:jc w:val="left"/>
        <w:rPr>
          <w:rFonts w:ascii="宋体" w:hAnsi="宋体"/>
          <w:b/>
          <w:sz w:val="24"/>
          <w:szCs w:val="24"/>
          <w:highlight w:val="none"/>
        </w:rPr>
      </w:pPr>
      <w:r>
        <w:rPr>
          <w:rFonts w:hint="eastAsia" w:ascii="宋体" w:hAnsi="宋体"/>
          <w:b/>
          <w:sz w:val="24"/>
          <w:szCs w:val="24"/>
          <w:highlight w:val="none"/>
          <w:lang w:val="en-US" w:eastAsia="zh-CN"/>
        </w:rPr>
        <w:t>6.2、</w:t>
      </w:r>
      <w:r>
        <w:rPr>
          <w:rFonts w:hint="eastAsia" w:ascii="宋体" w:hAnsi="宋体"/>
          <w:b/>
          <w:sz w:val="24"/>
          <w:szCs w:val="24"/>
          <w:highlight w:val="none"/>
        </w:rPr>
        <w:t>政府采购类：收费</w:t>
      </w:r>
      <w:r>
        <w:rPr>
          <w:rFonts w:hint="eastAsia" w:ascii="宋体" w:hAnsi="宋体"/>
          <w:b/>
          <w:sz w:val="24"/>
          <w:szCs w:val="24"/>
          <w:highlight w:val="none"/>
          <w:lang w:val="en-US" w:eastAsia="zh-CN"/>
        </w:rPr>
        <w:t>5</w:t>
      </w:r>
      <w:r>
        <w:rPr>
          <w:rFonts w:hint="eastAsia" w:ascii="宋体" w:hAnsi="宋体"/>
          <w:b/>
          <w:sz w:val="24"/>
          <w:szCs w:val="24"/>
          <w:highlight w:val="none"/>
        </w:rPr>
        <w:t>000元以下由咨询服务</w:t>
      </w:r>
      <w:r>
        <w:rPr>
          <w:rFonts w:hint="eastAsia" w:ascii="宋体" w:hAnsi="宋体"/>
          <w:b/>
          <w:sz w:val="24"/>
          <w:szCs w:val="24"/>
          <w:highlight w:val="none"/>
          <w:lang w:val="en-US" w:eastAsia="zh-CN"/>
        </w:rPr>
        <w:t>合作</w:t>
      </w:r>
      <w:r>
        <w:rPr>
          <w:rFonts w:hint="eastAsia" w:ascii="宋体" w:hAnsi="宋体"/>
          <w:b/>
          <w:sz w:val="24"/>
          <w:szCs w:val="24"/>
          <w:highlight w:val="none"/>
        </w:rPr>
        <w:t>供应商全额收取；收费</w:t>
      </w:r>
      <w:r>
        <w:rPr>
          <w:rFonts w:hint="eastAsia" w:ascii="宋体" w:hAnsi="宋体"/>
          <w:b/>
          <w:sz w:val="24"/>
          <w:szCs w:val="24"/>
          <w:highlight w:val="none"/>
          <w:lang w:val="en-US" w:eastAsia="zh-CN"/>
        </w:rPr>
        <w:t>5</w:t>
      </w:r>
      <w:r>
        <w:rPr>
          <w:rFonts w:hint="eastAsia" w:ascii="宋体" w:hAnsi="宋体"/>
          <w:b/>
          <w:sz w:val="24"/>
          <w:szCs w:val="24"/>
          <w:highlight w:val="none"/>
        </w:rPr>
        <w:t>000元（含）-</w:t>
      </w:r>
      <w:r>
        <w:rPr>
          <w:rFonts w:hint="eastAsia" w:ascii="宋体" w:hAnsi="宋体"/>
          <w:b/>
          <w:sz w:val="24"/>
          <w:szCs w:val="24"/>
          <w:highlight w:val="none"/>
          <w:lang w:val="en-US" w:eastAsia="zh-CN"/>
        </w:rPr>
        <w:t>40</w:t>
      </w:r>
      <w:r>
        <w:rPr>
          <w:rFonts w:hint="eastAsia" w:ascii="宋体" w:hAnsi="宋体"/>
          <w:b/>
          <w:sz w:val="24"/>
          <w:szCs w:val="24"/>
          <w:highlight w:val="none"/>
        </w:rPr>
        <w:t>000元（含）按2:8；收费</w:t>
      </w:r>
      <w:r>
        <w:rPr>
          <w:rFonts w:hint="eastAsia" w:ascii="宋体" w:hAnsi="宋体"/>
          <w:b/>
          <w:sz w:val="24"/>
          <w:szCs w:val="24"/>
          <w:highlight w:val="none"/>
          <w:lang w:val="en-US" w:eastAsia="zh-CN"/>
        </w:rPr>
        <w:t>40</w:t>
      </w:r>
      <w:r>
        <w:rPr>
          <w:rFonts w:hint="eastAsia" w:ascii="宋体" w:hAnsi="宋体"/>
          <w:b/>
          <w:sz w:val="24"/>
          <w:szCs w:val="24"/>
          <w:highlight w:val="none"/>
        </w:rPr>
        <w:t>000元以上按3:7。</w:t>
      </w:r>
    </w:p>
    <w:p>
      <w:pPr>
        <w:shd w:val="solid" w:color="FFFFFF" w:fill="auto"/>
        <w:autoSpaceDN w:val="0"/>
        <w:snapToGrid w:val="0"/>
        <w:spacing w:line="312" w:lineRule="auto"/>
        <w:ind w:right="-34" w:firstLine="482"/>
        <w:jc w:val="left"/>
        <w:rPr>
          <w:rFonts w:ascii="宋体" w:hAnsi="宋体"/>
          <w:b/>
          <w:sz w:val="24"/>
          <w:szCs w:val="24"/>
          <w:highlight w:val="none"/>
        </w:rPr>
      </w:pPr>
      <w:r>
        <w:rPr>
          <w:rFonts w:hint="eastAsia" w:ascii="宋体" w:hAnsi="宋体"/>
          <w:b/>
          <w:sz w:val="24"/>
          <w:szCs w:val="24"/>
          <w:highlight w:val="none"/>
          <w:lang w:val="en-US" w:eastAsia="zh-CN"/>
        </w:rPr>
        <w:t>6.3、</w:t>
      </w:r>
      <w:r>
        <w:rPr>
          <w:rFonts w:hint="eastAsia" w:ascii="宋体" w:hAnsi="宋体"/>
          <w:b/>
          <w:sz w:val="24"/>
          <w:szCs w:val="24"/>
          <w:highlight w:val="none"/>
        </w:rPr>
        <w:t>工程造价咨询类：6:4。</w:t>
      </w:r>
    </w:p>
    <w:p>
      <w:pPr>
        <w:shd w:val="solid" w:color="FFFFFF" w:fill="auto"/>
        <w:autoSpaceDN w:val="0"/>
        <w:snapToGrid w:val="0"/>
        <w:spacing w:line="312" w:lineRule="auto"/>
        <w:ind w:right="-34" w:firstLine="482"/>
        <w:jc w:val="left"/>
        <w:rPr>
          <w:rFonts w:ascii="宋体" w:hAnsi="宋体"/>
          <w:b/>
          <w:sz w:val="24"/>
          <w:szCs w:val="24"/>
          <w:highlight w:val="none"/>
        </w:rPr>
      </w:pPr>
      <w:r>
        <w:rPr>
          <w:rFonts w:hint="eastAsia" w:ascii="宋体" w:hAnsi="宋体"/>
          <w:b/>
          <w:sz w:val="24"/>
          <w:szCs w:val="24"/>
          <w:highlight w:val="none"/>
          <w:lang w:val="en-US" w:eastAsia="zh-CN"/>
        </w:rPr>
        <w:t>6.4、</w:t>
      </w:r>
      <w:r>
        <w:rPr>
          <w:rFonts w:hint="eastAsia" w:ascii="宋体" w:hAnsi="宋体"/>
          <w:b/>
          <w:sz w:val="24"/>
          <w:szCs w:val="24"/>
          <w:highlight w:val="none"/>
        </w:rPr>
        <w:t>费用结算周期：按季度</w:t>
      </w:r>
      <w:r>
        <w:rPr>
          <w:rFonts w:hint="eastAsia" w:ascii="宋体" w:hAnsi="宋体"/>
          <w:b/>
          <w:sz w:val="24"/>
          <w:szCs w:val="24"/>
          <w:highlight w:val="none"/>
          <w:lang w:val="en-US" w:eastAsia="zh-CN"/>
        </w:rPr>
        <w:t>结算</w:t>
      </w:r>
      <w:r>
        <w:rPr>
          <w:rFonts w:hint="eastAsia" w:ascii="宋体" w:hAnsi="宋体"/>
          <w:b/>
          <w:sz w:val="24"/>
          <w:szCs w:val="24"/>
          <w:highlight w:val="none"/>
        </w:rPr>
        <w:t>，遇特殊情况，由咨询服务</w:t>
      </w:r>
      <w:r>
        <w:rPr>
          <w:rFonts w:hint="eastAsia" w:ascii="宋体" w:hAnsi="宋体"/>
          <w:b/>
          <w:sz w:val="24"/>
          <w:szCs w:val="24"/>
          <w:highlight w:val="none"/>
          <w:lang w:val="en-US" w:eastAsia="zh-CN"/>
        </w:rPr>
        <w:t>合作</w:t>
      </w:r>
      <w:r>
        <w:rPr>
          <w:rFonts w:hint="eastAsia" w:ascii="宋体" w:hAnsi="宋体"/>
          <w:b/>
          <w:sz w:val="24"/>
          <w:szCs w:val="24"/>
          <w:highlight w:val="none"/>
        </w:rPr>
        <w:t>供应商提出申请，经招标人同意后可据实结算。</w:t>
      </w:r>
    </w:p>
    <w:p>
      <w:pPr>
        <w:shd w:val="solid" w:color="FFFFFF" w:fill="auto"/>
        <w:autoSpaceDN w:val="0"/>
        <w:snapToGrid w:val="0"/>
        <w:spacing w:line="312" w:lineRule="auto"/>
        <w:ind w:right="-34" w:firstLine="482"/>
        <w:jc w:val="left"/>
        <w:rPr>
          <w:rFonts w:ascii="宋体" w:hAnsi="宋体"/>
          <w:b/>
          <w:sz w:val="24"/>
          <w:szCs w:val="24"/>
          <w:highlight w:val="none"/>
        </w:rPr>
      </w:pPr>
      <w:r>
        <w:rPr>
          <w:rFonts w:hint="eastAsia" w:ascii="宋体" w:hAnsi="宋体"/>
          <w:b/>
          <w:sz w:val="24"/>
          <w:szCs w:val="24"/>
          <w:highlight w:val="none"/>
        </w:rPr>
        <w:t>7、招标人保留对以上业务承接、考核及动态管理相关办法进行修改、完善和执行的权利。</w:t>
      </w:r>
    </w:p>
    <w:p>
      <w:pPr>
        <w:pStyle w:val="24"/>
        <w:ind w:left="0" w:leftChars="0" w:firstLine="0" w:firstLineChars="0"/>
        <w:rPr>
          <w:highlight w:val="none"/>
        </w:rPr>
      </w:pPr>
    </w:p>
    <w:p>
      <w:pPr>
        <w:rPr>
          <w:rFonts w:ascii="宋体" w:hAnsi="宋体"/>
          <w:sz w:val="34"/>
          <w:szCs w:val="36"/>
          <w:highlight w:val="none"/>
          <w:shd w:val="clear" w:color="auto" w:fill="FFFFFF"/>
        </w:rPr>
      </w:pPr>
      <w:bookmarkStart w:id="11" w:name="_Toc83242158"/>
    </w:p>
    <w:p>
      <w:pPr>
        <w:pStyle w:val="7"/>
        <w:tabs>
          <w:tab w:val="left" w:pos="1125"/>
        </w:tabs>
        <w:spacing w:line="520" w:lineRule="exact"/>
        <w:ind w:firstLine="0"/>
        <w:rPr>
          <w:rFonts w:ascii="宋体" w:hAnsi="宋体" w:eastAsia="宋体"/>
          <w:b w:val="0"/>
          <w:sz w:val="34"/>
          <w:szCs w:val="36"/>
          <w:highlight w:val="none"/>
          <w:shd w:val="clear" w:color="auto" w:fill="FFFFFF"/>
        </w:rPr>
      </w:pPr>
      <w:r>
        <w:rPr>
          <w:rFonts w:hint="eastAsia" w:ascii="宋体" w:hAnsi="宋体" w:eastAsia="宋体"/>
          <w:b w:val="0"/>
          <w:sz w:val="34"/>
          <w:szCs w:val="36"/>
          <w:highlight w:val="none"/>
          <w:shd w:val="clear" w:color="auto" w:fill="FFFFFF"/>
        </w:rPr>
        <w:t>第六章</w:t>
      </w:r>
      <w:r>
        <w:rPr>
          <w:rFonts w:ascii="宋体" w:hAnsi="宋体" w:eastAsia="宋体"/>
          <w:b w:val="0"/>
          <w:sz w:val="34"/>
          <w:szCs w:val="36"/>
          <w:highlight w:val="none"/>
          <w:shd w:val="clear" w:color="auto" w:fill="FFFFFF"/>
        </w:rPr>
        <w:t xml:space="preserve">  </w:t>
      </w:r>
      <w:r>
        <w:rPr>
          <w:rFonts w:hint="eastAsia" w:ascii="宋体" w:hAnsi="宋体" w:eastAsia="宋体"/>
          <w:b w:val="0"/>
          <w:sz w:val="34"/>
          <w:szCs w:val="36"/>
          <w:highlight w:val="none"/>
          <w:shd w:val="clear" w:color="auto" w:fill="FFFFFF"/>
        </w:rPr>
        <w:t>投标文件格式</w:t>
      </w:r>
      <w:bookmarkEnd w:id="9"/>
      <w:bookmarkEnd w:id="11"/>
    </w:p>
    <w:p>
      <w:pPr>
        <w:spacing w:line="500" w:lineRule="exact"/>
        <w:ind w:firstLine="705"/>
        <w:rPr>
          <w:rFonts w:ascii="宋体" w:cs="宋体"/>
          <w:b/>
          <w:sz w:val="24"/>
          <w:szCs w:val="24"/>
          <w:highlight w:val="none"/>
        </w:rPr>
      </w:pPr>
    </w:p>
    <w:p>
      <w:pPr>
        <w:spacing w:line="500" w:lineRule="exact"/>
        <w:jc w:val="center"/>
        <w:rPr>
          <w:rFonts w:ascii="宋体" w:cs="宋体"/>
          <w:b/>
          <w:sz w:val="24"/>
          <w:szCs w:val="24"/>
          <w:highlight w:val="none"/>
          <w:u w:val="single"/>
        </w:rPr>
      </w:pPr>
    </w:p>
    <w:p>
      <w:pPr>
        <w:autoSpaceDE w:val="0"/>
        <w:autoSpaceDN w:val="0"/>
        <w:adjustRightInd w:val="0"/>
        <w:spacing w:line="500" w:lineRule="exact"/>
        <w:ind w:right="-20"/>
        <w:jc w:val="center"/>
        <w:rPr>
          <w:rFonts w:hint="eastAsia" w:ascii="宋体" w:hAnsi="宋体"/>
          <w:b/>
          <w:sz w:val="46"/>
          <w:szCs w:val="36"/>
          <w:highlight w:val="none"/>
          <w:shd w:val="clear" w:color="auto" w:fill="FFFFFF"/>
        </w:rPr>
      </w:pPr>
      <w:r>
        <w:rPr>
          <w:rFonts w:hint="eastAsia" w:ascii="宋体" w:hAnsi="宋体"/>
          <w:b/>
          <w:sz w:val="46"/>
          <w:szCs w:val="36"/>
          <w:highlight w:val="none"/>
          <w:shd w:val="clear" w:color="auto" w:fill="FFFFFF"/>
        </w:rPr>
        <w:t>安徽兴叶工程咨询有限公司</w:t>
      </w:r>
    </w:p>
    <w:p>
      <w:pPr>
        <w:autoSpaceDE w:val="0"/>
        <w:autoSpaceDN w:val="0"/>
        <w:adjustRightInd w:val="0"/>
        <w:spacing w:line="500" w:lineRule="exact"/>
        <w:ind w:right="-20"/>
        <w:jc w:val="center"/>
        <w:rPr>
          <w:rFonts w:ascii="宋体" w:cs="MingLiUfalt"/>
          <w:kern w:val="0"/>
          <w:sz w:val="44"/>
          <w:szCs w:val="44"/>
          <w:highlight w:val="none"/>
        </w:rPr>
      </w:pPr>
      <w:r>
        <w:rPr>
          <w:rFonts w:hint="eastAsia" w:ascii="宋体" w:hAnsi="宋体"/>
          <w:b/>
          <w:sz w:val="46"/>
          <w:szCs w:val="36"/>
          <w:highlight w:val="none"/>
          <w:shd w:val="clear" w:color="auto" w:fill="FFFFFF"/>
        </w:rPr>
        <w:t>咨询服务合作供应商征集项目</w:t>
      </w:r>
    </w:p>
    <w:p>
      <w:pPr>
        <w:autoSpaceDE w:val="0"/>
        <w:autoSpaceDN w:val="0"/>
        <w:adjustRightInd w:val="0"/>
        <w:spacing w:line="500" w:lineRule="exact"/>
        <w:jc w:val="center"/>
        <w:rPr>
          <w:rFonts w:ascii="宋体" w:cs="MingLiUfalt"/>
          <w:kern w:val="0"/>
          <w:sz w:val="20"/>
          <w:szCs w:val="20"/>
          <w:highlight w:val="none"/>
        </w:rPr>
      </w:pPr>
    </w:p>
    <w:p>
      <w:pPr>
        <w:tabs>
          <w:tab w:val="left" w:pos="3320"/>
          <w:tab w:val="left" w:pos="4500"/>
          <w:tab w:val="left" w:pos="5680"/>
        </w:tabs>
        <w:autoSpaceDE w:val="0"/>
        <w:autoSpaceDN w:val="0"/>
        <w:adjustRightInd w:val="0"/>
        <w:ind w:right="-23"/>
        <w:jc w:val="center"/>
        <w:rPr>
          <w:rFonts w:ascii="宋体" w:cs="MingLiUfalt"/>
          <w:kern w:val="0"/>
          <w:sz w:val="84"/>
          <w:szCs w:val="84"/>
          <w:highlight w:val="none"/>
        </w:rPr>
      </w:pPr>
      <w:r>
        <w:rPr>
          <w:rFonts w:hint="eastAsia" w:ascii="宋体" w:hAnsi="宋体" w:cs="MingLiUfalt"/>
          <w:kern w:val="0"/>
          <w:sz w:val="84"/>
          <w:szCs w:val="84"/>
          <w:highlight w:val="none"/>
        </w:rPr>
        <w:t>投标文件</w:t>
      </w:r>
    </w:p>
    <w:p>
      <w:pPr>
        <w:autoSpaceDE w:val="0"/>
        <w:autoSpaceDN w:val="0"/>
        <w:adjustRightInd w:val="0"/>
        <w:spacing w:line="500" w:lineRule="exact"/>
        <w:ind w:right="-20"/>
        <w:jc w:val="center"/>
        <w:rPr>
          <w:rFonts w:ascii="宋体" w:cs="MingLiUfalt"/>
          <w:b/>
          <w:kern w:val="0"/>
          <w:sz w:val="28"/>
          <w:szCs w:val="28"/>
          <w:highlight w:val="none"/>
        </w:rPr>
      </w:pPr>
      <w:r>
        <w:rPr>
          <w:rFonts w:hint="eastAsia" w:ascii="宋体" w:hAnsi="宋体" w:cs="MingLiUfalt"/>
          <w:b/>
          <w:kern w:val="0"/>
          <w:sz w:val="28"/>
          <w:szCs w:val="28"/>
          <w:highlight w:val="none"/>
        </w:rPr>
        <w:t>招标编号：</w:t>
      </w: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autoSpaceDE w:val="0"/>
        <w:autoSpaceDN w:val="0"/>
        <w:adjustRightInd w:val="0"/>
        <w:spacing w:line="500" w:lineRule="exact"/>
        <w:jc w:val="left"/>
        <w:rPr>
          <w:rFonts w:ascii="宋体" w:cs="MingLiUfalt"/>
          <w:kern w:val="0"/>
          <w:sz w:val="20"/>
          <w:szCs w:val="20"/>
          <w:highlight w:val="none"/>
        </w:rPr>
      </w:pPr>
    </w:p>
    <w:p>
      <w:pPr>
        <w:spacing w:line="500" w:lineRule="exact"/>
        <w:ind w:left="1392" w:leftChars="334" w:hanging="691" w:hangingChars="246"/>
        <w:rPr>
          <w:rFonts w:ascii="宋体"/>
          <w:b/>
          <w:spacing w:val="10"/>
          <w:w w:val="80"/>
          <w:sz w:val="28"/>
          <w:szCs w:val="28"/>
          <w:highlight w:val="none"/>
          <w:u w:val="single"/>
        </w:rPr>
      </w:pPr>
      <w:r>
        <w:rPr>
          <w:rFonts w:hint="eastAsia" w:ascii="宋体" w:hAnsi="宋体"/>
          <w:b/>
          <w:sz w:val="28"/>
          <w:szCs w:val="28"/>
          <w:highlight w:val="none"/>
        </w:rPr>
        <w:t>投标人：</w:t>
      </w:r>
      <w:r>
        <w:rPr>
          <w:rFonts w:hint="eastAsia" w:ascii="宋体" w:hAnsi="宋体"/>
          <w:b/>
          <w:sz w:val="28"/>
          <w:szCs w:val="28"/>
          <w:highlight w:val="none"/>
          <w:u w:val="single"/>
        </w:rPr>
        <w:t>（盖章）</w:t>
      </w:r>
    </w:p>
    <w:p>
      <w:pPr>
        <w:spacing w:line="500" w:lineRule="exact"/>
        <w:ind w:left="1392" w:leftChars="334" w:hanging="691" w:hangingChars="246"/>
        <w:rPr>
          <w:rFonts w:ascii="宋体"/>
          <w:b/>
          <w:sz w:val="28"/>
          <w:szCs w:val="28"/>
          <w:highlight w:val="none"/>
          <w:u w:val="single"/>
        </w:rPr>
      </w:pPr>
      <w:r>
        <w:rPr>
          <w:rFonts w:hint="eastAsia" w:ascii="宋体" w:hAnsi="宋体"/>
          <w:b/>
          <w:sz w:val="28"/>
          <w:szCs w:val="28"/>
          <w:highlight w:val="none"/>
        </w:rPr>
        <w:t>法定代表人或其委托代理人：</w:t>
      </w:r>
      <w:r>
        <w:rPr>
          <w:rFonts w:hint="eastAsia" w:ascii="宋体" w:hAnsi="宋体"/>
          <w:b/>
          <w:sz w:val="28"/>
          <w:szCs w:val="28"/>
          <w:highlight w:val="none"/>
          <w:u w:val="single"/>
        </w:rPr>
        <w:t>（签字）</w:t>
      </w:r>
    </w:p>
    <w:p>
      <w:pPr>
        <w:snapToGrid w:val="0"/>
        <w:spacing w:line="500" w:lineRule="exact"/>
        <w:ind w:right="-4" w:rightChars="-2" w:firstLine="689" w:firstLineChars="245"/>
        <w:jc w:val="left"/>
        <w:rPr>
          <w:rFonts w:ascii="宋体"/>
          <w:b/>
          <w:sz w:val="28"/>
          <w:szCs w:val="28"/>
          <w:highlight w:val="none"/>
        </w:rPr>
      </w:pPr>
      <w:r>
        <w:rPr>
          <w:rFonts w:hint="eastAsia" w:ascii="宋体" w:hAnsi="宋体"/>
          <w:b/>
          <w:sz w:val="28"/>
          <w:szCs w:val="28"/>
          <w:highlight w:val="none"/>
        </w:rPr>
        <w:t>日期：</w:t>
      </w:r>
      <w:r>
        <w:rPr>
          <w:rFonts w:ascii="宋体" w:hAnsi="宋体"/>
          <w:b/>
          <w:sz w:val="28"/>
          <w:szCs w:val="28"/>
          <w:highlight w:val="none"/>
          <w:u w:val="single"/>
        </w:rPr>
        <w:t xml:space="preserve"> 20</w:t>
      </w:r>
      <w:r>
        <w:rPr>
          <w:rFonts w:hint="eastAsia" w:ascii="宋体" w:hAnsi="宋体"/>
          <w:b/>
          <w:sz w:val="28"/>
          <w:szCs w:val="28"/>
          <w:highlight w:val="none"/>
          <w:u w:val="single"/>
        </w:rPr>
        <w:t>21</w:t>
      </w:r>
      <w:r>
        <w:rPr>
          <w:rFonts w:ascii="宋体" w:hAnsi="宋体"/>
          <w:b/>
          <w:sz w:val="28"/>
          <w:szCs w:val="28"/>
          <w:highlight w:val="none"/>
          <w:u w:val="single"/>
        </w:rPr>
        <w:t xml:space="preserve"> </w:t>
      </w:r>
      <w:r>
        <w:rPr>
          <w:rFonts w:hint="eastAsia" w:ascii="宋体" w:hAnsi="宋体"/>
          <w:b/>
          <w:sz w:val="28"/>
          <w:szCs w:val="28"/>
          <w:highlight w:val="none"/>
        </w:rPr>
        <w:t>年</w:t>
      </w:r>
      <w:r>
        <w:rPr>
          <w:rFonts w:ascii="宋体" w:hAnsi="宋体"/>
          <w:b/>
          <w:sz w:val="28"/>
          <w:szCs w:val="28"/>
          <w:highlight w:val="none"/>
        </w:rPr>
        <w:t xml:space="preserve">  </w:t>
      </w:r>
      <w:r>
        <w:rPr>
          <w:rFonts w:hint="eastAsia" w:ascii="宋体" w:hAnsi="宋体"/>
          <w:b/>
          <w:sz w:val="28"/>
          <w:szCs w:val="28"/>
          <w:highlight w:val="none"/>
        </w:rPr>
        <w:t>月</w:t>
      </w:r>
      <w:r>
        <w:rPr>
          <w:rFonts w:ascii="宋体" w:hAnsi="宋体"/>
          <w:b/>
          <w:sz w:val="28"/>
          <w:szCs w:val="28"/>
          <w:highlight w:val="none"/>
        </w:rPr>
        <w:t xml:space="preserve">  </w:t>
      </w:r>
      <w:r>
        <w:rPr>
          <w:rFonts w:hint="eastAsia" w:ascii="宋体" w:hAnsi="宋体"/>
          <w:b/>
          <w:sz w:val="28"/>
          <w:szCs w:val="28"/>
          <w:highlight w:val="none"/>
        </w:rPr>
        <w:t>日</w:t>
      </w:r>
    </w:p>
    <w:p>
      <w:pPr>
        <w:spacing w:line="500" w:lineRule="exact"/>
        <w:jc w:val="center"/>
        <w:rPr>
          <w:rFonts w:ascii="宋体" w:hAnsi="宋体" w:cs="宋体"/>
          <w:sz w:val="36"/>
          <w:szCs w:val="36"/>
          <w:highlight w:val="none"/>
        </w:rPr>
      </w:pPr>
    </w:p>
    <w:p>
      <w:pPr>
        <w:pStyle w:val="24"/>
        <w:ind w:firstLine="200"/>
        <w:rPr>
          <w:highlight w:val="none"/>
        </w:rPr>
      </w:pPr>
    </w:p>
    <w:p>
      <w:pPr>
        <w:pStyle w:val="24"/>
        <w:ind w:firstLine="200"/>
        <w:rPr>
          <w:highlight w:val="none"/>
        </w:rPr>
      </w:pPr>
    </w:p>
    <w:p>
      <w:pPr>
        <w:spacing w:line="500" w:lineRule="exact"/>
        <w:jc w:val="center"/>
        <w:rPr>
          <w:rFonts w:ascii="宋体" w:cs="宋体"/>
          <w:sz w:val="36"/>
          <w:szCs w:val="36"/>
          <w:highlight w:val="none"/>
        </w:rPr>
      </w:pPr>
      <w:r>
        <w:rPr>
          <w:rFonts w:hint="eastAsia" w:ascii="宋体" w:hAnsi="宋体" w:cs="宋体"/>
          <w:sz w:val="36"/>
          <w:szCs w:val="36"/>
          <w:highlight w:val="none"/>
        </w:rPr>
        <w:t>目</w:t>
      </w:r>
      <w:r>
        <w:rPr>
          <w:rFonts w:ascii="宋体" w:hAnsi="宋体" w:cs="宋体"/>
          <w:sz w:val="36"/>
          <w:szCs w:val="36"/>
          <w:highlight w:val="none"/>
        </w:rPr>
        <w:t xml:space="preserve">   </w:t>
      </w:r>
      <w:r>
        <w:rPr>
          <w:rFonts w:hint="eastAsia" w:ascii="宋体" w:hAnsi="宋体" w:cs="宋体"/>
          <w:sz w:val="36"/>
          <w:szCs w:val="36"/>
          <w:highlight w:val="none"/>
        </w:rPr>
        <w:t>录</w:t>
      </w:r>
    </w:p>
    <w:p>
      <w:pPr>
        <w:spacing w:line="500" w:lineRule="exact"/>
        <w:ind w:firstLine="917" w:firstLineChars="437"/>
        <w:rPr>
          <w:rFonts w:ascii="宋体" w:cs="宋体"/>
          <w:highlight w:val="none"/>
        </w:rPr>
      </w:pPr>
    </w:p>
    <w:p>
      <w:pPr>
        <w:adjustRightInd w:val="0"/>
        <w:snapToGrid w:val="0"/>
        <w:spacing w:line="500" w:lineRule="exact"/>
        <w:ind w:firstLine="551" w:firstLineChars="196"/>
        <w:rPr>
          <w:rFonts w:ascii="宋体" w:cs="宋体"/>
          <w:b/>
          <w:sz w:val="28"/>
          <w:szCs w:val="28"/>
          <w:highlight w:val="none"/>
        </w:rPr>
      </w:pPr>
    </w:p>
    <w:p>
      <w:pPr>
        <w:adjustRightInd w:val="0"/>
        <w:snapToGrid w:val="0"/>
        <w:spacing w:line="500" w:lineRule="exact"/>
        <w:ind w:firstLine="551" w:firstLineChars="196"/>
        <w:rPr>
          <w:rFonts w:ascii="宋体" w:cs="宋体"/>
          <w:b/>
          <w:sz w:val="28"/>
          <w:szCs w:val="28"/>
          <w:highlight w:val="none"/>
        </w:rPr>
      </w:pPr>
      <w:r>
        <w:rPr>
          <w:rFonts w:hint="eastAsia" w:ascii="宋体" w:hAnsi="宋体" w:cs="宋体"/>
          <w:b/>
          <w:sz w:val="28"/>
          <w:szCs w:val="28"/>
          <w:highlight w:val="none"/>
        </w:rPr>
        <w:t>评分索引表</w:t>
      </w:r>
    </w:p>
    <w:p>
      <w:pPr>
        <w:adjustRightInd w:val="0"/>
        <w:snapToGrid w:val="0"/>
        <w:spacing w:line="500" w:lineRule="exact"/>
        <w:ind w:firstLine="560" w:firstLineChars="200"/>
        <w:rPr>
          <w:rFonts w:hint="eastAsia" w:ascii="宋体" w:eastAsia="宋体" w:cs="宋体"/>
          <w:sz w:val="28"/>
          <w:szCs w:val="28"/>
          <w:highlight w:val="none"/>
          <w:lang w:eastAsia="zh-CN"/>
        </w:rPr>
      </w:pPr>
      <w:r>
        <w:rPr>
          <w:rFonts w:hint="eastAsia" w:ascii="宋体" w:hAnsi="宋体" w:cs="宋体"/>
          <w:sz w:val="28"/>
          <w:szCs w:val="28"/>
          <w:highlight w:val="none"/>
        </w:rPr>
        <w:t>一、投标函</w:t>
      </w:r>
      <w:r>
        <w:rPr>
          <w:rFonts w:hint="eastAsia" w:ascii="宋体" w:hAnsi="宋体" w:cs="宋体"/>
          <w:sz w:val="28"/>
          <w:szCs w:val="28"/>
          <w:highlight w:val="none"/>
          <w:lang w:eastAsia="zh-CN"/>
        </w:rPr>
        <w:t>；</w:t>
      </w:r>
    </w:p>
    <w:p>
      <w:pPr>
        <w:adjustRightInd w:val="0"/>
        <w:snapToGrid w:val="0"/>
        <w:spacing w:line="500" w:lineRule="exact"/>
        <w:ind w:firstLine="560" w:firstLineChars="200"/>
        <w:rPr>
          <w:rFonts w:hint="eastAsia" w:ascii="宋体" w:eastAsia="宋体"/>
          <w:sz w:val="28"/>
          <w:szCs w:val="28"/>
          <w:highlight w:val="none"/>
          <w:lang w:eastAsia="zh-CN"/>
        </w:rPr>
      </w:pPr>
      <w:r>
        <w:rPr>
          <w:rFonts w:hint="eastAsia" w:ascii="宋体" w:hAnsi="宋体"/>
          <w:sz w:val="28"/>
          <w:szCs w:val="28"/>
          <w:highlight w:val="none"/>
        </w:rPr>
        <w:t>二、投标单位基本情况</w:t>
      </w:r>
      <w:r>
        <w:rPr>
          <w:rFonts w:hint="eastAsia" w:ascii="宋体" w:hAnsi="宋体"/>
          <w:sz w:val="28"/>
          <w:szCs w:val="28"/>
          <w:highlight w:val="none"/>
          <w:lang w:eastAsia="zh-CN"/>
        </w:rPr>
        <w:t>；</w:t>
      </w:r>
    </w:p>
    <w:p>
      <w:pPr>
        <w:adjustRightInd w:val="0"/>
        <w:snapToGrid w:val="0"/>
        <w:spacing w:line="500" w:lineRule="exact"/>
        <w:ind w:firstLine="560"/>
        <w:rPr>
          <w:rFonts w:hint="eastAsia" w:ascii="宋体" w:eastAsia="宋体" w:cs="宋体"/>
          <w:sz w:val="28"/>
          <w:szCs w:val="28"/>
          <w:highlight w:val="none"/>
          <w:lang w:eastAsia="zh-CN"/>
        </w:rPr>
      </w:pPr>
      <w:r>
        <w:rPr>
          <w:rFonts w:hint="eastAsia" w:ascii="宋体" w:hAnsi="宋体" w:cs="宋体"/>
          <w:sz w:val="28"/>
          <w:szCs w:val="28"/>
          <w:highlight w:val="none"/>
        </w:rPr>
        <w:t>三、法定代表人身份证明及授权委托书</w:t>
      </w:r>
      <w:r>
        <w:rPr>
          <w:rFonts w:hint="eastAsia" w:ascii="宋体" w:hAnsi="宋体" w:cs="宋体"/>
          <w:sz w:val="28"/>
          <w:szCs w:val="28"/>
          <w:highlight w:val="none"/>
          <w:lang w:eastAsia="zh-CN"/>
        </w:rPr>
        <w:t>；</w:t>
      </w:r>
    </w:p>
    <w:p>
      <w:pPr>
        <w:adjustRightInd w:val="0"/>
        <w:snapToGrid w:val="0"/>
        <w:spacing w:line="500" w:lineRule="exact"/>
        <w:ind w:firstLine="560" w:firstLineChars="200"/>
        <w:rPr>
          <w:rFonts w:ascii="宋体" w:cs="宋体"/>
          <w:sz w:val="28"/>
          <w:szCs w:val="28"/>
          <w:highlight w:val="none"/>
        </w:rPr>
      </w:pPr>
      <w:r>
        <w:rPr>
          <w:rFonts w:hint="eastAsia" w:ascii="宋体" w:hAnsi="宋体"/>
          <w:bCs/>
          <w:sz w:val="28"/>
          <w:szCs w:val="28"/>
          <w:highlight w:val="none"/>
        </w:rPr>
        <w:t>四、</w:t>
      </w:r>
      <w:r>
        <w:rPr>
          <w:rFonts w:hint="eastAsia" w:ascii="宋体" w:hAnsi="宋体" w:cs="宋体"/>
          <w:sz w:val="28"/>
          <w:szCs w:val="28"/>
          <w:highlight w:val="none"/>
        </w:rPr>
        <w:t>承诺书；</w:t>
      </w:r>
    </w:p>
    <w:p>
      <w:pPr>
        <w:adjustRightInd w:val="0"/>
        <w:snapToGrid w:val="0"/>
        <w:spacing w:line="500" w:lineRule="exact"/>
        <w:ind w:firstLine="560" w:firstLineChars="200"/>
        <w:rPr>
          <w:rFonts w:ascii="宋体" w:cs="宋体"/>
          <w:sz w:val="28"/>
          <w:szCs w:val="28"/>
          <w:highlight w:val="none"/>
        </w:rPr>
      </w:pPr>
      <w:r>
        <w:rPr>
          <w:rFonts w:hint="eastAsia" w:ascii="宋体" w:hAnsi="宋体" w:cs="宋体"/>
          <w:sz w:val="28"/>
          <w:szCs w:val="28"/>
          <w:highlight w:val="none"/>
        </w:rPr>
        <w:t>五、投标人声明；</w:t>
      </w:r>
    </w:p>
    <w:p>
      <w:pPr>
        <w:adjustRightInd w:val="0"/>
        <w:snapToGrid w:val="0"/>
        <w:spacing w:line="500" w:lineRule="exact"/>
        <w:ind w:firstLine="560" w:firstLineChars="200"/>
        <w:rPr>
          <w:rFonts w:ascii="宋体" w:cs="宋体"/>
          <w:sz w:val="28"/>
          <w:szCs w:val="28"/>
          <w:highlight w:val="none"/>
        </w:rPr>
      </w:pPr>
      <w:r>
        <w:rPr>
          <w:rFonts w:hint="eastAsia" w:ascii="宋体" w:hAnsi="宋体" w:cs="宋体"/>
          <w:sz w:val="28"/>
          <w:szCs w:val="28"/>
          <w:highlight w:val="none"/>
        </w:rPr>
        <w:t>六、企业信誉证明文件（附相关证书复印件等）；</w:t>
      </w:r>
    </w:p>
    <w:p>
      <w:pPr>
        <w:adjustRightInd w:val="0"/>
        <w:snapToGrid w:val="0"/>
        <w:spacing w:line="500" w:lineRule="exact"/>
        <w:ind w:firstLine="560" w:firstLineChars="200"/>
        <w:rPr>
          <w:rFonts w:ascii="宋体" w:cs="宋体"/>
          <w:sz w:val="28"/>
          <w:szCs w:val="28"/>
          <w:highlight w:val="none"/>
        </w:rPr>
      </w:pPr>
      <w:r>
        <w:rPr>
          <w:rFonts w:hint="eastAsia" w:ascii="宋体" w:hAnsi="宋体" w:cs="宋体"/>
          <w:sz w:val="28"/>
          <w:szCs w:val="28"/>
          <w:highlight w:val="none"/>
        </w:rPr>
        <w:t>七、企业业绩证明材料【附业绩一览表（格式自拟）及各业绩证明材料复印件】；</w:t>
      </w:r>
    </w:p>
    <w:p>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八、【项目人员配备情况表（格式自拟）,项目负责人简历、相关证书复印件，专业人员相关证书复印件</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项目人员身份证复印件，近6个月投标企业为其缴纳的社保证明复印件</w:t>
      </w:r>
      <w:r>
        <w:rPr>
          <w:rFonts w:hint="eastAsia" w:ascii="宋体" w:hAnsi="宋体" w:cs="宋体"/>
          <w:sz w:val="28"/>
          <w:szCs w:val="28"/>
          <w:highlight w:val="none"/>
        </w:rPr>
        <w:t>】；</w:t>
      </w:r>
    </w:p>
    <w:p>
      <w:pPr>
        <w:spacing w:line="500" w:lineRule="exact"/>
        <w:ind w:firstLine="560" w:firstLineChars="200"/>
        <w:rPr>
          <w:rFonts w:ascii="宋体" w:cs="宋体"/>
          <w:sz w:val="28"/>
          <w:szCs w:val="28"/>
          <w:highlight w:val="none"/>
        </w:rPr>
      </w:pPr>
      <w:r>
        <w:rPr>
          <w:rFonts w:hint="eastAsia" w:ascii="宋体" w:hAnsi="宋体" w:cs="宋体"/>
          <w:sz w:val="28"/>
          <w:szCs w:val="28"/>
          <w:highlight w:val="none"/>
        </w:rPr>
        <w:t>九、其它投标人认为需提交的材料。</w:t>
      </w:r>
    </w:p>
    <w:p>
      <w:pPr>
        <w:spacing w:line="500" w:lineRule="exact"/>
        <w:ind w:firstLine="420" w:firstLineChars="150"/>
        <w:rPr>
          <w:rFonts w:ascii="宋体" w:cs="宋体"/>
          <w:sz w:val="24"/>
          <w:szCs w:val="24"/>
          <w:highlight w:val="none"/>
        </w:rPr>
      </w:pPr>
      <w:r>
        <w:rPr>
          <w:rFonts w:hint="eastAsia" w:ascii="宋体" w:hAnsi="宋体" w:cs="宋体"/>
          <w:sz w:val="28"/>
          <w:szCs w:val="28"/>
          <w:highlight w:val="none"/>
        </w:rPr>
        <w:t>说明：凡本附件未附格式部分，请各投标人根据招标需求自行拟定格式。</w:t>
      </w:r>
    </w:p>
    <w:p>
      <w:pPr>
        <w:spacing w:line="500" w:lineRule="exact"/>
        <w:rPr>
          <w:rFonts w:ascii="宋体" w:cs="宋体"/>
          <w:sz w:val="24"/>
          <w:szCs w:val="24"/>
          <w:highlight w:val="none"/>
        </w:rPr>
      </w:pPr>
    </w:p>
    <w:p>
      <w:pPr>
        <w:pStyle w:val="16"/>
        <w:spacing w:line="500" w:lineRule="exact"/>
        <w:jc w:val="center"/>
        <w:rPr>
          <w:rFonts w:ascii="宋体" w:hAnsi="宋体"/>
          <w:bCs/>
          <w:sz w:val="24"/>
          <w:highlight w:val="none"/>
        </w:rPr>
      </w:pPr>
      <w:bookmarkStart w:id="12" w:name="_Toc516969097"/>
      <w:bookmarkStart w:id="13" w:name="_Toc172171554"/>
      <w:r>
        <w:rPr>
          <w:rFonts w:ascii="宋体" w:cs="宋体"/>
          <w:bCs/>
          <w:sz w:val="24"/>
          <w:szCs w:val="24"/>
          <w:highlight w:val="none"/>
        </w:rPr>
        <w:br w:type="page"/>
      </w:r>
      <w:r>
        <w:rPr>
          <w:rFonts w:hint="eastAsia" w:ascii="宋体" w:hAnsi="宋体"/>
          <w:bCs/>
          <w:sz w:val="24"/>
          <w:highlight w:val="none"/>
        </w:rPr>
        <w:t>评标索引表格式</w:t>
      </w:r>
    </w:p>
    <w:tbl>
      <w:tblPr>
        <w:tblStyle w:val="25"/>
        <w:tblpPr w:leftFromText="180" w:rightFromText="180" w:vertAnchor="text" w:horzAnchor="page" w:tblpX="1432" w:tblpY="321"/>
        <w:tblOverlap w:val="never"/>
        <w:tblW w:w="95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34"/>
        <w:gridCol w:w="761"/>
        <w:gridCol w:w="1080"/>
        <w:gridCol w:w="5655"/>
        <w:gridCol w:w="720"/>
        <w:gridCol w:w="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634"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序号</w:t>
            </w:r>
          </w:p>
        </w:tc>
        <w:tc>
          <w:tcPr>
            <w:tcW w:w="761"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评议内容</w:t>
            </w:r>
          </w:p>
        </w:tc>
        <w:tc>
          <w:tcPr>
            <w:tcW w:w="6735" w:type="dxa"/>
            <w:gridSpan w:val="2"/>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评分细则</w:t>
            </w:r>
          </w:p>
        </w:tc>
        <w:tc>
          <w:tcPr>
            <w:tcW w:w="720"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自评分</w:t>
            </w:r>
          </w:p>
        </w:tc>
        <w:tc>
          <w:tcPr>
            <w:tcW w:w="720"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5" w:hRule="atLeast"/>
        </w:trPr>
        <w:tc>
          <w:tcPr>
            <w:tcW w:w="63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一</w:t>
            </w:r>
          </w:p>
        </w:tc>
        <w:tc>
          <w:tcPr>
            <w:tcW w:w="761"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企业综合实力</w:t>
            </w:r>
          </w:p>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30</w:t>
            </w:r>
            <w:r>
              <w:rPr>
                <w:rFonts w:asciiTheme="minorEastAsia" w:hAnsiTheme="minorEastAsia" w:eastAsiaTheme="minorEastAsia"/>
                <w:highlight w:val="none"/>
              </w:rPr>
              <w:t>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企业奖项</w:t>
            </w:r>
          </w:p>
        </w:tc>
        <w:tc>
          <w:tcPr>
            <w:tcW w:w="5655"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1、</w:t>
            </w:r>
            <w:r>
              <w:rPr>
                <w:rFonts w:asciiTheme="minorEastAsia" w:hAnsiTheme="minorEastAsia" w:eastAsiaTheme="minorEastAsia"/>
                <w:highlight w:val="none"/>
              </w:rPr>
              <w:t>201</w:t>
            </w:r>
            <w:r>
              <w:rPr>
                <w:rFonts w:hint="eastAsia" w:asciiTheme="minorEastAsia" w:hAnsiTheme="minorEastAsia" w:eastAsiaTheme="minorEastAsia"/>
                <w:highlight w:val="none"/>
              </w:rPr>
              <w:t>6年</w:t>
            </w:r>
            <w:r>
              <w:rPr>
                <w:rFonts w:asciiTheme="minorEastAsia" w:hAnsiTheme="minorEastAsia" w:eastAsiaTheme="minorEastAsia"/>
                <w:highlight w:val="none"/>
              </w:rPr>
              <w:t>1月1日以来（以证书落款日期为准）获得过</w:t>
            </w:r>
            <w:r>
              <w:rPr>
                <w:rFonts w:hint="eastAsia" w:asciiTheme="minorEastAsia" w:hAnsiTheme="minorEastAsia" w:eastAsiaTheme="minorEastAsia"/>
                <w:highlight w:val="none"/>
              </w:rPr>
              <w:t>中国土木工程学会建筑市场与招标投标研究分会颁发的“全国招标代理机构诚信先进单位”证书的得5分。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2、</w:t>
            </w:r>
            <w:r>
              <w:rPr>
                <w:rFonts w:asciiTheme="minorEastAsia" w:hAnsiTheme="minorEastAsia" w:eastAsiaTheme="minorEastAsia"/>
                <w:highlight w:val="none"/>
              </w:rPr>
              <w:t>201</w:t>
            </w:r>
            <w:r>
              <w:rPr>
                <w:rFonts w:hint="eastAsia" w:asciiTheme="minorEastAsia" w:hAnsiTheme="minorEastAsia" w:eastAsiaTheme="minorEastAsia"/>
                <w:highlight w:val="none"/>
              </w:rPr>
              <w:t>6年</w:t>
            </w:r>
            <w:r>
              <w:rPr>
                <w:rFonts w:asciiTheme="minorEastAsia" w:hAnsiTheme="minorEastAsia" w:eastAsiaTheme="minorEastAsia"/>
                <w:highlight w:val="none"/>
              </w:rPr>
              <w:t>1月1日以来（以证书落款日期为准）获得过</w:t>
            </w:r>
            <w:r>
              <w:rPr>
                <w:rFonts w:hint="eastAsia" w:asciiTheme="minorEastAsia" w:hAnsiTheme="minorEastAsia" w:eastAsiaTheme="minorEastAsia"/>
                <w:highlight w:val="none"/>
              </w:rPr>
              <w:t>中国招标投标协会颁发的企业信用等级在</w:t>
            </w:r>
            <w:r>
              <w:rPr>
                <w:rFonts w:asciiTheme="minorEastAsia" w:hAnsiTheme="minorEastAsia" w:eastAsiaTheme="minorEastAsia"/>
                <w:highlight w:val="none"/>
              </w:rPr>
              <w:t>A级（含）以上或诚信创优等级在A级（含）以上的</w:t>
            </w:r>
            <w:r>
              <w:rPr>
                <w:rFonts w:hint="eastAsia" w:asciiTheme="minorEastAsia" w:hAnsiTheme="minorEastAsia" w:eastAsiaTheme="minorEastAsia"/>
                <w:highlight w:val="none"/>
              </w:rPr>
              <w:t>得5分</w:t>
            </w:r>
            <w:r>
              <w:rPr>
                <w:rFonts w:asciiTheme="minorEastAsia" w:hAnsiTheme="minorEastAsia" w:eastAsiaTheme="minorEastAsia"/>
                <w:highlight w:val="none"/>
              </w:rPr>
              <w:t>。</w:t>
            </w:r>
          </w:p>
          <w:p>
            <w:pPr>
              <w:pStyle w:val="24"/>
              <w:keepNext w:val="0"/>
              <w:keepLines w:val="0"/>
              <w:pageBreakBefore w:val="0"/>
              <w:tabs>
                <w:tab w:val="left" w:pos="735"/>
              </w:tabs>
              <w:kinsoku/>
              <w:wordWrap/>
              <w:overflowPunct/>
              <w:topLinePunct w:val="0"/>
              <w:autoSpaceDE/>
              <w:autoSpaceDN/>
              <w:bidi w:val="0"/>
              <w:adjustRightInd/>
              <w:snapToGrid/>
              <w:spacing w:after="0" w:line="240" w:lineRule="auto"/>
              <w:ind w:firstLine="0" w:firstLineChars="0"/>
              <w:jc w:val="left"/>
              <w:textAlignment w:val="auto"/>
              <w:rPr>
                <w:rFonts w:asciiTheme="minorEastAsia" w:hAnsiTheme="minorEastAsia" w:eastAsiaTheme="minorEastAsia"/>
                <w:sz w:val="21"/>
                <w:highlight w:val="none"/>
              </w:rPr>
            </w:pPr>
            <w:r>
              <w:rPr>
                <w:rFonts w:hint="eastAsia" w:asciiTheme="minorEastAsia" w:hAnsiTheme="minorEastAsia" w:eastAsiaTheme="minorEastAsia"/>
                <w:sz w:val="21"/>
                <w:highlight w:val="none"/>
              </w:rPr>
              <w:t>3、</w:t>
            </w:r>
            <w:r>
              <w:rPr>
                <w:rFonts w:asciiTheme="minorEastAsia" w:hAnsiTheme="minorEastAsia" w:eastAsiaTheme="minorEastAsia"/>
                <w:sz w:val="21"/>
                <w:highlight w:val="none"/>
              </w:rPr>
              <w:t>201</w:t>
            </w:r>
            <w:r>
              <w:rPr>
                <w:rFonts w:hint="eastAsia" w:asciiTheme="minorEastAsia" w:hAnsiTheme="minorEastAsia" w:eastAsiaTheme="minorEastAsia"/>
                <w:sz w:val="21"/>
                <w:highlight w:val="none"/>
              </w:rPr>
              <w:t>6</w:t>
            </w:r>
            <w:r>
              <w:rPr>
                <w:rFonts w:asciiTheme="minorEastAsia" w:hAnsiTheme="minorEastAsia" w:eastAsiaTheme="minorEastAsia"/>
                <w:sz w:val="21"/>
                <w:highlight w:val="none"/>
              </w:rPr>
              <w:t>年1</w:t>
            </w:r>
            <w:r>
              <w:rPr>
                <w:rFonts w:hint="eastAsia" w:asciiTheme="minorEastAsia" w:hAnsiTheme="minorEastAsia" w:eastAsiaTheme="minorEastAsia"/>
                <w:sz w:val="21"/>
                <w:highlight w:val="none"/>
              </w:rPr>
              <w:t>月</w:t>
            </w:r>
            <w:r>
              <w:rPr>
                <w:rFonts w:asciiTheme="minorEastAsia" w:hAnsiTheme="minorEastAsia" w:eastAsiaTheme="minorEastAsia"/>
                <w:sz w:val="21"/>
                <w:highlight w:val="none"/>
              </w:rPr>
              <w:t>1</w:t>
            </w:r>
            <w:r>
              <w:rPr>
                <w:rFonts w:hint="eastAsia" w:asciiTheme="minorEastAsia" w:hAnsiTheme="minorEastAsia" w:eastAsiaTheme="minorEastAsia"/>
                <w:sz w:val="21"/>
                <w:highlight w:val="none"/>
              </w:rPr>
              <w:t>日以来（以证书落款日期为准）荣获由中国采购与招标网、中国名企排行联合网颁发的中国招标代理优质服务奖（★★★★★）的，得</w:t>
            </w:r>
            <w:r>
              <w:rPr>
                <w:rFonts w:asciiTheme="minorEastAsia" w:hAnsiTheme="minorEastAsia" w:eastAsiaTheme="minorEastAsia"/>
                <w:sz w:val="21"/>
                <w:highlight w:val="none"/>
              </w:rPr>
              <w:t>5分。</w:t>
            </w:r>
          </w:p>
          <w:p>
            <w:pPr>
              <w:pStyle w:val="24"/>
              <w:keepNext w:val="0"/>
              <w:keepLines w:val="0"/>
              <w:pageBreakBefore w:val="0"/>
              <w:tabs>
                <w:tab w:val="left" w:pos="735"/>
              </w:tabs>
              <w:kinsoku/>
              <w:wordWrap/>
              <w:overflowPunct/>
              <w:topLinePunct w:val="0"/>
              <w:autoSpaceDE/>
              <w:autoSpaceDN/>
              <w:bidi w:val="0"/>
              <w:adjustRightInd/>
              <w:snapToGrid/>
              <w:spacing w:after="0" w:line="240" w:lineRule="auto"/>
              <w:ind w:firstLine="0" w:firstLineChars="0"/>
              <w:jc w:val="left"/>
              <w:textAlignment w:val="auto"/>
              <w:rPr>
                <w:rFonts w:asciiTheme="minorEastAsia" w:hAnsiTheme="minorEastAsia" w:eastAsiaTheme="minorEastAsia"/>
                <w:sz w:val="21"/>
                <w:highlight w:val="none"/>
              </w:rPr>
            </w:pPr>
            <w:r>
              <w:rPr>
                <w:rFonts w:hint="eastAsia" w:asciiTheme="minorEastAsia" w:hAnsiTheme="minorEastAsia" w:eastAsiaTheme="minorEastAsia"/>
                <w:sz w:val="21"/>
                <w:highlight w:val="none"/>
              </w:rPr>
              <w:t>4、</w:t>
            </w:r>
            <w:r>
              <w:rPr>
                <w:rFonts w:asciiTheme="minorEastAsia" w:hAnsiTheme="minorEastAsia" w:eastAsiaTheme="minorEastAsia"/>
                <w:sz w:val="21"/>
                <w:highlight w:val="none"/>
              </w:rPr>
              <w:t>201</w:t>
            </w:r>
            <w:r>
              <w:rPr>
                <w:rFonts w:hint="eastAsia" w:asciiTheme="minorEastAsia" w:hAnsiTheme="minorEastAsia" w:eastAsiaTheme="minorEastAsia"/>
                <w:sz w:val="21"/>
                <w:highlight w:val="none"/>
              </w:rPr>
              <w:t>6</w:t>
            </w:r>
            <w:r>
              <w:rPr>
                <w:rFonts w:asciiTheme="minorEastAsia" w:hAnsiTheme="minorEastAsia" w:eastAsiaTheme="minorEastAsia"/>
                <w:sz w:val="21"/>
                <w:highlight w:val="none"/>
              </w:rPr>
              <w:t>年1</w:t>
            </w:r>
            <w:r>
              <w:rPr>
                <w:rFonts w:hint="eastAsia" w:asciiTheme="minorEastAsia" w:hAnsiTheme="minorEastAsia" w:eastAsiaTheme="minorEastAsia"/>
                <w:sz w:val="21"/>
                <w:highlight w:val="none"/>
              </w:rPr>
              <w:t>月</w:t>
            </w:r>
            <w:r>
              <w:rPr>
                <w:rFonts w:asciiTheme="minorEastAsia" w:hAnsiTheme="minorEastAsia" w:eastAsiaTheme="minorEastAsia"/>
                <w:sz w:val="21"/>
                <w:highlight w:val="none"/>
              </w:rPr>
              <w:t>1</w:t>
            </w:r>
            <w:r>
              <w:rPr>
                <w:rFonts w:hint="eastAsia" w:asciiTheme="minorEastAsia" w:hAnsiTheme="minorEastAsia" w:eastAsiaTheme="minorEastAsia"/>
                <w:sz w:val="21"/>
                <w:highlight w:val="none"/>
              </w:rPr>
              <w:t>日以来（以证书落款日期为准）获得过省级“双满意工程招标代理机构”或其他省类似省级优质服务奖（省级招标投标协会或省级建设行政主管部门颁发）的得</w:t>
            </w:r>
            <w:r>
              <w:rPr>
                <w:rFonts w:asciiTheme="minorEastAsia" w:hAnsiTheme="minorEastAsia" w:eastAsiaTheme="minorEastAsia"/>
                <w:sz w:val="21"/>
                <w:highlight w:val="none"/>
              </w:rPr>
              <w:t>5</w:t>
            </w:r>
            <w:r>
              <w:rPr>
                <w:rFonts w:hint="eastAsia" w:asciiTheme="minorEastAsia" w:hAnsiTheme="minorEastAsia" w:eastAsiaTheme="minorEastAsia"/>
                <w:sz w:val="21"/>
                <w:highlight w:val="none"/>
              </w:rPr>
              <w:t>分。</w:t>
            </w:r>
          </w:p>
          <w:p>
            <w:pPr>
              <w:pStyle w:val="24"/>
              <w:keepNext w:val="0"/>
              <w:keepLines w:val="0"/>
              <w:pageBreakBefore w:val="0"/>
              <w:tabs>
                <w:tab w:val="left" w:pos="735"/>
              </w:tabs>
              <w:kinsoku/>
              <w:wordWrap/>
              <w:overflowPunct/>
              <w:topLinePunct w:val="0"/>
              <w:autoSpaceDE/>
              <w:autoSpaceDN/>
              <w:bidi w:val="0"/>
              <w:adjustRightInd/>
              <w:snapToGrid/>
              <w:spacing w:after="0" w:line="240" w:lineRule="auto"/>
              <w:ind w:firstLine="0" w:firstLineChars="0"/>
              <w:jc w:val="left"/>
              <w:textAlignment w:val="auto"/>
              <w:rPr>
                <w:rFonts w:asciiTheme="minorEastAsia" w:hAnsiTheme="minorEastAsia" w:eastAsiaTheme="minorEastAsia"/>
                <w:sz w:val="21"/>
                <w:highlight w:val="none"/>
              </w:rPr>
            </w:pPr>
            <w:r>
              <w:rPr>
                <w:rFonts w:hint="eastAsia" w:asciiTheme="minorEastAsia" w:hAnsiTheme="minorEastAsia" w:eastAsiaTheme="minorEastAsia"/>
                <w:sz w:val="21"/>
                <w:highlight w:val="none"/>
              </w:rPr>
              <w:t>5、</w:t>
            </w:r>
            <w:r>
              <w:rPr>
                <w:rFonts w:asciiTheme="minorEastAsia" w:hAnsiTheme="minorEastAsia" w:eastAsiaTheme="minorEastAsia"/>
                <w:sz w:val="21"/>
                <w:highlight w:val="none"/>
              </w:rPr>
              <w:t>201</w:t>
            </w:r>
            <w:r>
              <w:rPr>
                <w:rFonts w:hint="eastAsia" w:asciiTheme="minorEastAsia" w:hAnsiTheme="minorEastAsia" w:eastAsiaTheme="minorEastAsia"/>
                <w:sz w:val="21"/>
                <w:highlight w:val="none"/>
              </w:rPr>
              <w:t>6</w:t>
            </w:r>
            <w:r>
              <w:rPr>
                <w:rFonts w:asciiTheme="minorEastAsia" w:hAnsiTheme="minorEastAsia" w:eastAsiaTheme="minorEastAsia"/>
                <w:sz w:val="21"/>
                <w:highlight w:val="none"/>
              </w:rPr>
              <w:t>年1月1日以来（以证书落款日期为准）获得过</w:t>
            </w:r>
            <w:r>
              <w:rPr>
                <w:rFonts w:hint="eastAsia" w:asciiTheme="minorEastAsia" w:hAnsiTheme="minorEastAsia" w:eastAsiaTheme="minorEastAsia"/>
                <w:sz w:val="21"/>
                <w:highlight w:val="none"/>
              </w:rPr>
              <w:t>由中国建设工程造价管理协会颁发的“工程造价咨询企业信用3</w:t>
            </w:r>
            <w:r>
              <w:rPr>
                <w:rFonts w:asciiTheme="minorEastAsia" w:hAnsiTheme="minorEastAsia" w:eastAsiaTheme="minorEastAsia"/>
                <w:sz w:val="21"/>
                <w:highlight w:val="none"/>
              </w:rPr>
              <w:t>A</w:t>
            </w:r>
            <w:r>
              <w:rPr>
                <w:rFonts w:hint="eastAsia" w:asciiTheme="minorEastAsia" w:hAnsiTheme="minorEastAsia" w:eastAsiaTheme="minorEastAsia"/>
                <w:sz w:val="21"/>
                <w:highlight w:val="none"/>
              </w:rPr>
              <w:t>”证书的得5分。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注：本项累计满分为20分，投标文件中须附相关证书复印件，否则不得分。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6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企业荣誉</w:t>
            </w:r>
          </w:p>
        </w:tc>
        <w:tc>
          <w:tcPr>
            <w:tcW w:w="5655"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hint="eastAsia" w:ascii="宋体" w:cs="宋体"/>
                <w:kern w:val="0"/>
                <w:highlight w:val="none"/>
              </w:rPr>
              <w:t>企业提供其在招标或工程咨询行业所获得贡献、表彰或其他特殊亮点资料，</w:t>
            </w:r>
            <w:r>
              <w:rPr>
                <w:rFonts w:hint="eastAsia" w:ascii="宋体" w:hAnsi="宋体"/>
                <w:highlight w:val="none"/>
              </w:rPr>
              <w:t>由评标委员会横向比较，酌情打分，满分</w:t>
            </w:r>
            <w:r>
              <w:rPr>
                <w:rFonts w:hint="eastAsia" w:ascii="宋体" w:hAnsi="宋体"/>
                <w:highlight w:val="none"/>
                <w:lang w:val="en-US" w:eastAsia="zh-CN"/>
              </w:rPr>
              <w:t>4</w:t>
            </w:r>
            <w:r>
              <w:rPr>
                <w:rFonts w:ascii="宋体" w:hAnsi="宋体"/>
                <w:highlight w:val="none"/>
              </w:rPr>
              <w:t>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6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企业认证</w:t>
            </w:r>
          </w:p>
        </w:tc>
        <w:tc>
          <w:tcPr>
            <w:tcW w:w="5655"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企业获得有效</w:t>
            </w:r>
            <w:r>
              <w:rPr>
                <w:rFonts w:asciiTheme="minorEastAsia" w:hAnsiTheme="minorEastAsia" w:eastAsiaTheme="minorEastAsia"/>
                <w:highlight w:val="none"/>
              </w:rPr>
              <w:t>ISO</w:t>
            </w:r>
            <w:r>
              <w:rPr>
                <w:rFonts w:hint="eastAsia" w:asciiTheme="minorEastAsia" w:hAnsiTheme="minorEastAsia" w:eastAsiaTheme="minorEastAsia"/>
                <w:highlight w:val="none"/>
              </w:rPr>
              <w:t>质量管理体系认证的得</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分；获得有效职业健康安全管理体系</w:t>
            </w:r>
            <w:r>
              <w:rPr>
                <w:rFonts w:asciiTheme="minorEastAsia" w:hAnsiTheme="minorEastAsia" w:eastAsiaTheme="minorEastAsia"/>
                <w:highlight w:val="none"/>
              </w:rPr>
              <w:t>GB/T28001</w:t>
            </w:r>
            <w:r>
              <w:rPr>
                <w:rFonts w:hint="eastAsia" w:asciiTheme="minorEastAsia" w:hAnsiTheme="minorEastAsia" w:eastAsiaTheme="minorEastAsia"/>
                <w:highlight w:val="none"/>
              </w:rPr>
              <w:t>认证的得</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分；获得有效环境管理体系</w:t>
            </w:r>
            <w:r>
              <w:rPr>
                <w:rFonts w:asciiTheme="minorEastAsia" w:hAnsiTheme="minorEastAsia" w:eastAsiaTheme="minorEastAsia"/>
                <w:highlight w:val="none"/>
              </w:rPr>
              <w:t>ISO14001</w:t>
            </w:r>
            <w:r>
              <w:rPr>
                <w:rFonts w:hint="eastAsia" w:asciiTheme="minorEastAsia" w:hAnsiTheme="minorEastAsia" w:eastAsiaTheme="minorEastAsia"/>
                <w:highlight w:val="none"/>
              </w:rPr>
              <w:t>认证的得</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分。本项最高得</w:t>
            </w:r>
            <w:r>
              <w:rPr>
                <w:rFonts w:hint="eastAsia" w:asciiTheme="minorEastAsia" w:hAnsiTheme="minorEastAsia" w:eastAsiaTheme="minorEastAsia"/>
                <w:highlight w:val="none"/>
                <w:lang w:val="en-US" w:eastAsia="zh-CN"/>
              </w:rPr>
              <w:t>6</w:t>
            </w:r>
            <w:r>
              <w:rPr>
                <w:rFonts w:hint="eastAsia" w:asciiTheme="minorEastAsia" w:hAnsiTheme="minorEastAsia" w:eastAsiaTheme="minorEastAsia"/>
                <w:highlight w:val="none"/>
              </w:rPr>
              <w:t>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注：投标文件中须附相关证书复印件，否则不得分。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63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二</w:t>
            </w:r>
          </w:p>
        </w:tc>
        <w:tc>
          <w:tcPr>
            <w:tcW w:w="761"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企业业绩</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50</w:t>
            </w:r>
            <w:r>
              <w:rPr>
                <w:rFonts w:asciiTheme="minorEastAsia" w:hAnsiTheme="minorEastAsia" w:eastAsiaTheme="minorEastAsia"/>
                <w:highlight w:val="none"/>
              </w:rPr>
              <w:t>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招标代理业绩</w:t>
            </w:r>
          </w:p>
        </w:tc>
        <w:tc>
          <w:tcPr>
            <w:tcW w:w="5655"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1、2016年1月1日以来每承接过一个</w:t>
            </w:r>
            <w:r>
              <w:rPr>
                <w:rFonts w:hint="eastAsia" w:asciiTheme="minorEastAsia" w:hAnsiTheme="minorEastAsia" w:eastAsiaTheme="minorEastAsia"/>
                <w:highlight w:val="none"/>
                <w:lang w:val="en-US" w:eastAsia="zh-CN"/>
              </w:rPr>
              <w:t>单个项目投资</w:t>
            </w:r>
            <w:r>
              <w:rPr>
                <w:rFonts w:hint="eastAsia" w:asciiTheme="minorEastAsia" w:hAnsiTheme="minorEastAsia" w:eastAsiaTheme="minorEastAsia"/>
                <w:highlight w:val="none"/>
              </w:rPr>
              <w:t>金额在10000万元及以上的PPP项目招标代理的得4分，本项最高得8分。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2、2016年1月1日以来每承接过一个</w:t>
            </w:r>
            <w:r>
              <w:rPr>
                <w:rFonts w:hint="eastAsia" w:asciiTheme="minorEastAsia" w:hAnsiTheme="minorEastAsia" w:eastAsiaTheme="minorEastAsia"/>
                <w:highlight w:val="none"/>
                <w:lang w:val="en-US" w:eastAsia="zh-CN"/>
              </w:rPr>
              <w:t>单个项目投资</w:t>
            </w:r>
            <w:r>
              <w:rPr>
                <w:rFonts w:hint="eastAsia" w:asciiTheme="minorEastAsia" w:hAnsiTheme="minorEastAsia" w:eastAsiaTheme="minorEastAsia"/>
                <w:highlight w:val="none"/>
              </w:rPr>
              <w:t>金额在10000万元及以上的EPC项目招标代理项目的得分4分，本项最高得8分。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3、2016年1月1日以来每承接过一个</w:t>
            </w:r>
            <w:r>
              <w:rPr>
                <w:rFonts w:hint="eastAsia" w:asciiTheme="minorEastAsia" w:hAnsiTheme="minorEastAsia" w:eastAsiaTheme="minorEastAsia"/>
                <w:highlight w:val="none"/>
                <w:lang w:val="en-US" w:eastAsia="zh-CN"/>
              </w:rPr>
              <w:t>单个项目投资</w:t>
            </w:r>
            <w:r>
              <w:rPr>
                <w:rFonts w:hint="eastAsia" w:asciiTheme="minorEastAsia" w:hAnsiTheme="minorEastAsia" w:eastAsiaTheme="minorEastAsia"/>
                <w:highlight w:val="none"/>
              </w:rPr>
              <w:t>金额在10000万元及以上的施工总承包招标代理项目的得分4分，本项最高得8分。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4、2016年1月1日以来每承接过一个</w:t>
            </w:r>
            <w:r>
              <w:rPr>
                <w:rFonts w:hint="eastAsia" w:asciiTheme="minorEastAsia" w:hAnsiTheme="minorEastAsia" w:eastAsiaTheme="minorEastAsia"/>
                <w:highlight w:val="none"/>
                <w:lang w:val="en-US" w:eastAsia="zh-CN"/>
              </w:rPr>
              <w:t>单个项目投资</w:t>
            </w:r>
            <w:r>
              <w:rPr>
                <w:rFonts w:hint="eastAsia" w:asciiTheme="minorEastAsia" w:hAnsiTheme="minorEastAsia" w:eastAsiaTheme="minorEastAsia"/>
                <w:highlight w:val="none"/>
              </w:rPr>
              <w:t>金额在5000万元及以上的货物类招标代理项目的得4分，本项最高得8分。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5、2016年1月1日以来每承接过一个</w:t>
            </w:r>
            <w:r>
              <w:rPr>
                <w:rFonts w:hint="eastAsia" w:asciiTheme="minorEastAsia" w:hAnsiTheme="minorEastAsia" w:eastAsiaTheme="minorEastAsia"/>
                <w:highlight w:val="none"/>
                <w:lang w:val="en-US" w:eastAsia="zh-CN"/>
              </w:rPr>
              <w:t>单个项目投资</w:t>
            </w:r>
            <w:r>
              <w:rPr>
                <w:rFonts w:hint="eastAsia" w:asciiTheme="minorEastAsia" w:hAnsiTheme="minorEastAsia" w:eastAsiaTheme="minorEastAsia"/>
                <w:highlight w:val="none"/>
              </w:rPr>
              <w:t>金额在1000万元及以上的服务类招标代理项目的得4分，本项最高得8分。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注：1.投标文件中须附代理项目合同协议书、代理项目中标通知书复印件及中标公示网页截图，时间、金额以中标通知书为准，未提供不得分。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2.同一业绩不重复计分。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1" w:hRule="atLeast"/>
        </w:trPr>
        <w:tc>
          <w:tcPr>
            <w:tcW w:w="63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6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造价咨询业绩</w:t>
            </w:r>
          </w:p>
        </w:tc>
        <w:tc>
          <w:tcPr>
            <w:tcW w:w="5655"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2016年1月1日以来每承接过一个</w:t>
            </w:r>
            <w:r>
              <w:rPr>
                <w:rFonts w:hint="eastAsia" w:asciiTheme="minorEastAsia" w:hAnsiTheme="minorEastAsia" w:eastAsiaTheme="minorEastAsia"/>
                <w:highlight w:val="none"/>
                <w:lang w:val="en-US" w:eastAsia="zh-CN"/>
              </w:rPr>
              <w:t>单个项目投资</w:t>
            </w:r>
            <w:r>
              <w:rPr>
                <w:rFonts w:hint="eastAsia" w:asciiTheme="minorEastAsia" w:hAnsiTheme="minorEastAsia" w:eastAsiaTheme="minorEastAsia"/>
                <w:highlight w:val="none"/>
              </w:rPr>
              <w:t>金额在10000万元及以上造价咨询业务的得5分，本项最高得10分。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注：投标文件中提供合同和造价咨询成果签章封面复印件，时间、金额以成果文件为准，未提供不得分。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7" w:hRule="atLeast"/>
        </w:trPr>
        <w:tc>
          <w:tcPr>
            <w:tcW w:w="63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三</w:t>
            </w:r>
          </w:p>
        </w:tc>
        <w:tc>
          <w:tcPr>
            <w:tcW w:w="761"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人员素质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5</w:t>
            </w:r>
            <w:r>
              <w:rPr>
                <w:rFonts w:asciiTheme="minorEastAsia" w:hAnsiTheme="minorEastAsia" w:eastAsiaTheme="minorEastAsia"/>
                <w:highlight w:val="none"/>
              </w:rPr>
              <w:t>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项目负责人</w:t>
            </w:r>
          </w:p>
        </w:tc>
        <w:tc>
          <w:tcPr>
            <w:tcW w:w="5655" w:type="dxa"/>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asciiTheme="minorEastAsia" w:hAnsiTheme="minorEastAsia" w:eastAsiaTheme="minorEastAsia"/>
                <w:highlight w:val="none"/>
              </w:rPr>
              <w:t>1、项目负责人具有</w:t>
            </w:r>
            <w:r>
              <w:rPr>
                <w:rFonts w:hint="eastAsia" w:asciiTheme="minorEastAsia" w:hAnsiTheme="minorEastAsia" w:eastAsiaTheme="minorEastAsia"/>
                <w:highlight w:val="none"/>
              </w:rPr>
              <w:t>一级</w:t>
            </w:r>
            <w:r>
              <w:rPr>
                <w:rFonts w:asciiTheme="minorEastAsia" w:hAnsiTheme="minorEastAsia" w:eastAsiaTheme="minorEastAsia"/>
                <w:highlight w:val="none"/>
              </w:rPr>
              <w:t>注册造价工程师资格或招标师资格</w:t>
            </w:r>
            <w:r>
              <w:rPr>
                <w:rFonts w:hint="eastAsia" w:asciiTheme="minorEastAsia" w:hAnsiTheme="minorEastAsia" w:eastAsiaTheme="minorEastAsia"/>
                <w:highlight w:val="none"/>
              </w:rPr>
              <w:t>或中级及以上招采人员资格</w:t>
            </w:r>
            <w:r>
              <w:rPr>
                <w:rFonts w:asciiTheme="minorEastAsia" w:hAnsiTheme="minorEastAsia" w:eastAsiaTheme="minorEastAsia"/>
                <w:highlight w:val="none"/>
              </w:rPr>
              <w:t>的得</w:t>
            </w:r>
            <w:r>
              <w:rPr>
                <w:rFonts w:hint="eastAsia" w:asciiTheme="minorEastAsia" w:hAnsiTheme="minorEastAsia" w:eastAsiaTheme="minorEastAsia"/>
                <w:highlight w:val="none"/>
              </w:rPr>
              <w:t>2</w:t>
            </w:r>
            <w:r>
              <w:rPr>
                <w:rFonts w:asciiTheme="minorEastAsia" w:hAnsiTheme="minorEastAsia" w:eastAsiaTheme="minorEastAsia"/>
                <w:highlight w:val="none"/>
              </w:rPr>
              <w:t>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2</w:t>
            </w:r>
            <w:r>
              <w:rPr>
                <w:rFonts w:asciiTheme="minorEastAsia" w:hAnsiTheme="minorEastAsia" w:eastAsiaTheme="minorEastAsia"/>
                <w:highlight w:val="none"/>
              </w:rPr>
              <w:t>、项目负责人具有高级工程师的得1分。</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注：投标文件中须附相关证书复印件，否则不得分。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3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6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专业人员</w:t>
            </w:r>
          </w:p>
        </w:tc>
        <w:tc>
          <w:tcPr>
            <w:tcW w:w="5655" w:type="dxa"/>
            <w:vAlign w:val="center"/>
          </w:tcPr>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1、拟派的专业人员满足招标文件规定的最低标准得基本分2分,不满足要求的不得分且不得被推荐</w:t>
            </w:r>
            <w:r>
              <w:rPr>
                <w:rFonts w:hint="eastAsia" w:asciiTheme="minorEastAsia" w:hAnsiTheme="minorEastAsia" w:eastAsiaTheme="minorEastAsia"/>
                <w:highlight w:val="none"/>
                <w:lang w:val="en-US" w:eastAsia="zh-CN"/>
              </w:rPr>
              <w:t>为合作供应商</w:t>
            </w:r>
            <w:r>
              <w:rPr>
                <w:rFonts w:hint="eastAsia" w:asciiTheme="minorEastAsia" w:hAnsiTheme="minorEastAsia" w:eastAsiaTheme="minorEastAsia"/>
                <w:highlight w:val="none"/>
              </w:rPr>
              <w:t>。</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人员配备最低标准（不含项目负责人）：本项目要求至少配备3名中级及以上职称专业人员。</w:t>
            </w:r>
          </w:p>
          <w:p>
            <w:pPr>
              <w:keepNext w:val="0"/>
              <w:keepLines w:val="0"/>
              <w:pageBreakBefore w:val="0"/>
              <w:kinsoku/>
              <w:wordWrap/>
              <w:overflowPunct/>
              <w:topLinePunct w:val="0"/>
              <w:autoSpaceDE/>
              <w:autoSpaceDN/>
              <w:bidi w:val="0"/>
              <w:adjustRightInd/>
              <w:snapToGrid/>
              <w:spacing w:line="240" w:lineRule="auto"/>
              <w:ind w:right="53" w:rightChars="25"/>
              <w:jc w:val="left"/>
              <w:textAlignment w:val="auto"/>
              <w:rPr>
                <w:rFonts w:cs="宋体" w:asciiTheme="minorEastAsia" w:hAnsiTheme="minorEastAsia" w:eastAsiaTheme="minorEastAsia"/>
                <w:kern w:val="0"/>
                <w:highlight w:val="none"/>
              </w:rPr>
            </w:pPr>
            <w:r>
              <w:rPr>
                <w:rFonts w:hint="eastAsia" w:asciiTheme="minorEastAsia" w:hAnsiTheme="minorEastAsia" w:eastAsiaTheme="minorEastAsia"/>
                <w:highlight w:val="none"/>
              </w:rPr>
              <w:t>注：投标文件中须附专业人员职称证书、资格证书</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身份证、社保证明</w:t>
            </w:r>
            <w:r>
              <w:rPr>
                <w:rFonts w:hint="eastAsia" w:asciiTheme="minorEastAsia" w:hAnsiTheme="minorEastAsia" w:eastAsiaTheme="minorEastAsia"/>
                <w:highlight w:val="none"/>
              </w:rPr>
              <w:t>复印件，否则不得分。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3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四</w:t>
            </w:r>
          </w:p>
        </w:tc>
        <w:tc>
          <w:tcPr>
            <w:tcW w:w="761"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咨询服务方案15分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工作制度</w:t>
            </w:r>
          </w:p>
        </w:tc>
        <w:tc>
          <w:tcPr>
            <w:tcW w:w="5655"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对投标人咨询服务工作制度内容、可行性由评委对比评价评审，优得3分、良得2分，一般得1分。未提供不得分。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3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6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108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服务方案</w:t>
            </w:r>
          </w:p>
        </w:tc>
        <w:tc>
          <w:tcPr>
            <w:tcW w:w="5655" w:type="dxa"/>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提供符合招标文件要求的招标代理及造价咨询服务方案中人员安排、分工及责任由评委对比评价评审。优得3分、良得2分，一般得1分。未提供不得分。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3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6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5655" w:type="dxa"/>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提供符合招标文件要求的工程招标代理及造价咨询服务方案中质量、程序、方法由评委对比评价评审。优得3分、良得2分，一般得1分。未提供不得分。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3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6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5655" w:type="dxa"/>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提供符合招标文件要求的进度控制计划及措施由评委对比评价评审。优得3分、良得2分，一般得1分。未提供不得分。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3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61"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r>
              <w:rPr>
                <w:rFonts w:hint="eastAsia" w:ascii="宋体" w:hAnsi="宋体"/>
                <w:highlight w:val="none"/>
              </w:rPr>
              <w:t>业务档案</w:t>
            </w:r>
          </w:p>
        </w:tc>
        <w:tc>
          <w:tcPr>
            <w:tcW w:w="5655"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kern w:val="0"/>
                <w:highlight w:val="none"/>
              </w:rPr>
            </w:pPr>
            <w:r>
              <w:rPr>
                <w:rFonts w:hint="eastAsia" w:ascii="宋体" w:hAnsi="宋体" w:cs="宋体"/>
                <w:kern w:val="0"/>
                <w:highlight w:val="none"/>
              </w:rPr>
              <w:t>对投标人招标代理业务档案管理工作制度内容、可行性由评委对比评价评审。优得3分、良得2分，一般得</w:t>
            </w:r>
            <w:r>
              <w:rPr>
                <w:rFonts w:ascii="宋体" w:hAnsi="宋体" w:cs="宋体"/>
                <w:kern w:val="0"/>
                <w:highlight w:val="none"/>
              </w:rPr>
              <w:t>1</w:t>
            </w:r>
            <w:r>
              <w:rPr>
                <w:rFonts w:hint="eastAsia" w:ascii="宋体" w:hAnsi="宋体" w:cs="宋体"/>
                <w:kern w:val="0"/>
                <w:highlight w:val="none"/>
              </w:rPr>
              <w:t>分。未提供不得分。</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8130" w:type="dxa"/>
            <w:gridSpan w:val="4"/>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合</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计</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highlight w:val="none"/>
              </w:rPr>
            </w:pPr>
          </w:p>
        </w:tc>
      </w:tr>
    </w:tbl>
    <w:p>
      <w:pPr>
        <w:rPr>
          <w:rFonts w:hint="eastAsia" w:ascii="宋体" w:hAnsi="宋体" w:cs="宋体"/>
          <w:b w:val="0"/>
          <w:bCs/>
          <w:sz w:val="36"/>
          <w:szCs w:val="36"/>
          <w:highlight w:val="none"/>
        </w:rPr>
      </w:pPr>
      <w:r>
        <w:rPr>
          <w:rFonts w:hint="eastAsia" w:ascii="宋体" w:hAnsi="宋体" w:cs="宋体"/>
          <w:b w:val="0"/>
          <w:bCs/>
          <w:sz w:val="36"/>
          <w:szCs w:val="36"/>
          <w:highlight w:val="none"/>
        </w:rPr>
        <w:br w:type="page"/>
      </w:r>
    </w:p>
    <w:p>
      <w:pPr>
        <w:pStyle w:val="16"/>
        <w:spacing w:line="500" w:lineRule="exact"/>
        <w:jc w:val="center"/>
        <w:rPr>
          <w:rFonts w:ascii="宋体" w:cs="宋体"/>
          <w:b w:val="0"/>
          <w:sz w:val="36"/>
          <w:szCs w:val="36"/>
          <w:highlight w:val="none"/>
        </w:rPr>
      </w:pPr>
      <w:r>
        <w:rPr>
          <w:rFonts w:hint="eastAsia" w:ascii="宋体" w:hAnsi="宋体" w:cs="宋体"/>
          <w:b w:val="0"/>
          <w:bCs/>
          <w:sz w:val="36"/>
          <w:szCs w:val="36"/>
          <w:highlight w:val="none"/>
        </w:rPr>
        <w:t>一、投标函</w:t>
      </w:r>
    </w:p>
    <w:p>
      <w:pPr>
        <w:autoSpaceDE w:val="0"/>
        <w:autoSpaceDN w:val="0"/>
        <w:adjustRightInd w:val="0"/>
        <w:snapToGrid w:val="0"/>
        <w:spacing w:line="500" w:lineRule="exact"/>
        <w:rPr>
          <w:rFonts w:ascii="宋体" w:cs="宋体"/>
          <w:highlight w:val="none"/>
        </w:rPr>
      </w:pPr>
    </w:p>
    <w:p>
      <w:pPr>
        <w:autoSpaceDE w:val="0"/>
        <w:autoSpaceDN w:val="0"/>
        <w:adjustRightInd w:val="0"/>
        <w:snapToGrid w:val="0"/>
        <w:spacing w:line="500" w:lineRule="exact"/>
        <w:rPr>
          <w:rFonts w:ascii="宋体" w:cs="宋体"/>
          <w:sz w:val="24"/>
          <w:szCs w:val="24"/>
          <w:highlight w:val="none"/>
        </w:rPr>
      </w:pPr>
      <w:r>
        <w:rPr>
          <w:rFonts w:hint="eastAsia" w:ascii="宋体" w:hAnsi="宋体"/>
          <w:sz w:val="24"/>
          <w:szCs w:val="24"/>
          <w:highlight w:val="none"/>
        </w:rPr>
        <w:t>致安徽兴叶工程咨询有限公司：</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、根据你单位招标项目编号为</w:t>
      </w:r>
      <w:r>
        <w:rPr>
          <w:rFonts w:hint="eastAsia" w:ascii="宋体" w:hAnsi="宋体" w:cs="宋体"/>
          <w:sz w:val="24"/>
          <w:szCs w:val="24"/>
          <w:highlight w:val="none"/>
          <w:u w:val="single"/>
          <w:lang w:val="en-US" w:eastAsia="zh-CN"/>
        </w:rPr>
        <w:t>AHZJ-202123901161</w:t>
      </w:r>
      <w:r>
        <w:rPr>
          <w:rFonts w:ascii="宋体" w:hAnsi="宋体"/>
          <w:sz w:val="24"/>
          <w:szCs w:val="24"/>
          <w:highlight w:val="none"/>
        </w:rPr>
        <w:t>的</w:t>
      </w:r>
      <w:r>
        <w:rPr>
          <w:rFonts w:hint="eastAsia" w:ascii="宋体" w:hAnsi="宋体" w:cs="宋体"/>
          <w:sz w:val="24"/>
          <w:szCs w:val="24"/>
          <w:highlight w:val="none"/>
        </w:rPr>
        <w:t>安徽兴叶工程咨询有限公司咨询服务合作供应商征集项目的招标文件，遵照有关规定，经研究上述招标文件的投标须知、合同条款和其他有关文件后，我单位愿按招标文件规定提供服务。</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、我单位已详细审核全部招标文件，包括招标文件修改书（如果有的话），参考资料及有关附件，我们知道必须放弃提出含糊不清或误解的问题的权利。</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、我单位同意从投标人须知规定的开标日期起遵循本投标书，并在投标人须知规定的投标有效期之前均具有约束力。</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、如果在开标后规定的投标有效期内撤销投标，我单位的投标保证金贵单位可不予退还。</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、我单位同意向贵单位提供贵单位可能另外要求的与该项目投标有关的任何证据或资料。</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、一旦我单位中标，我单位保证按照招标文件的规定，严格履行合同的责任和义务</w:t>
      </w:r>
      <w:r>
        <w:rPr>
          <w:rFonts w:ascii="宋体" w:hAnsi="宋体" w:cs="宋体"/>
          <w:sz w:val="24"/>
          <w:szCs w:val="24"/>
          <w:highlight w:val="none"/>
        </w:rPr>
        <w:t>,</w:t>
      </w:r>
      <w:r>
        <w:rPr>
          <w:rFonts w:hint="eastAsia" w:ascii="宋体" w:hAnsi="宋体" w:cs="宋体"/>
          <w:sz w:val="24"/>
          <w:szCs w:val="24"/>
          <w:highlight w:val="none"/>
        </w:rPr>
        <w:t>并保证按照招标人的要求，保证符合招标文件的要求。</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、一旦我单位中标，我单位保证在规定的时间内按招标文件规定的方式、金额向招标人提交履约保证金。</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、我单位承诺：一旦我单位中标，我单位保证在规定的时间内按招标文件规定的时间、金额缴纳招标代理服务费及相关费用。</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9</w:t>
      </w:r>
      <w:r>
        <w:rPr>
          <w:rFonts w:hint="eastAsia" w:ascii="宋体" w:hAnsi="宋体" w:cs="宋体"/>
          <w:sz w:val="24"/>
          <w:szCs w:val="24"/>
          <w:highlight w:val="none"/>
        </w:rPr>
        <w:t>、我单位同意所提交的投标文件在招标文件的投标须知前附表中规定的投标有效期内有效，在此期间内如果中标，我单位将受此约束。</w:t>
      </w:r>
    </w:p>
    <w:p>
      <w:pPr>
        <w:autoSpaceDE w:val="0"/>
        <w:autoSpaceDN w:val="0"/>
        <w:adjustRightInd w:val="0"/>
        <w:snapToGrid w:val="0"/>
        <w:spacing w:line="500" w:lineRule="exact"/>
        <w:ind w:firstLine="480" w:firstLineChars="200"/>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rPr>
        <w:t>、除非另外达成协议并生效，招标人的中标通知书和本投标文件以及招标文件澄清、修改通知、补充文件将成为约束双方的合同文件的组成部分。</w:t>
      </w:r>
    </w:p>
    <w:p>
      <w:pPr>
        <w:pStyle w:val="3"/>
        <w:adjustRightInd w:val="0"/>
        <w:snapToGrid w:val="0"/>
        <w:spacing w:line="500" w:lineRule="exact"/>
        <w:ind w:firstLine="360" w:firstLineChars="150"/>
        <w:rPr>
          <w:rFonts w:ascii="宋体" w:hAnsi="宋体" w:eastAsia="宋体"/>
          <w:sz w:val="24"/>
          <w:szCs w:val="24"/>
          <w:highlight w:val="none"/>
          <w:u w:val="single"/>
        </w:rPr>
      </w:pPr>
      <w:r>
        <w:rPr>
          <w:rFonts w:ascii="宋体" w:hAnsi="宋体" w:eastAsia="宋体" w:cs="宋体"/>
          <w:sz w:val="24"/>
          <w:szCs w:val="24"/>
          <w:highlight w:val="none"/>
        </w:rPr>
        <w:t>11</w:t>
      </w:r>
      <w:r>
        <w:rPr>
          <w:rFonts w:hint="eastAsia" w:ascii="宋体" w:hAnsi="宋体" w:eastAsia="宋体" w:cs="宋体"/>
          <w:sz w:val="24"/>
          <w:szCs w:val="24"/>
          <w:highlight w:val="none"/>
        </w:rPr>
        <w:t>、</w:t>
      </w:r>
      <w:r>
        <w:rPr>
          <w:rFonts w:hint="eastAsia" w:ascii="宋体" w:hAnsi="宋体" w:eastAsia="宋体"/>
          <w:sz w:val="24"/>
          <w:szCs w:val="24"/>
          <w:highlight w:val="none"/>
        </w:rPr>
        <w:t>其他补充说明：</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补充说明事项</w:t>
      </w:r>
      <w:r>
        <w:rPr>
          <w:rFonts w:ascii="宋体" w:hAnsi="宋体" w:eastAsia="宋体"/>
          <w:sz w:val="24"/>
          <w:szCs w:val="24"/>
          <w:highlight w:val="none"/>
          <w:u w:val="single"/>
        </w:rPr>
        <w:t>}</w:t>
      </w:r>
    </w:p>
    <w:p>
      <w:pPr>
        <w:adjustRightInd w:val="0"/>
        <w:snapToGrid w:val="0"/>
        <w:spacing w:line="500" w:lineRule="exact"/>
        <w:ind w:firstLine="480" w:firstLineChars="200"/>
        <w:rPr>
          <w:rFonts w:ascii="宋体" w:cs="宋体"/>
          <w:sz w:val="24"/>
          <w:szCs w:val="24"/>
          <w:highlight w:val="none"/>
        </w:rPr>
      </w:pPr>
    </w:p>
    <w:p>
      <w:pPr>
        <w:pStyle w:val="24"/>
        <w:ind w:firstLine="200"/>
        <w:rPr>
          <w:highlight w:val="none"/>
        </w:rPr>
      </w:pPr>
    </w:p>
    <w:p>
      <w:pPr>
        <w:pStyle w:val="24"/>
        <w:ind w:firstLine="200"/>
        <w:rPr>
          <w:highlight w:val="none"/>
        </w:rPr>
      </w:pPr>
    </w:p>
    <w:p>
      <w:pPr>
        <w:adjustRightInd w:val="0"/>
        <w:snapToGrid w:val="0"/>
        <w:spacing w:line="500" w:lineRule="exact"/>
        <w:ind w:firstLine="480" w:firstLineChars="200"/>
        <w:rPr>
          <w:rFonts w:ascii="宋体"/>
          <w:sz w:val="24"/>
          <w:szCs w:val="24"/>
          <w:highlight w:val="none"/>
          <w:u w:val="single"/>
        </w:rPr>
      </w:pPr>
      <w:r>
        <w:rPr>
          <w:rFonts w:hint="eastAsia" w:ascii="宋体" w:hAnsi="宋体" w:cs="宋体"/>
          <w:sz w:val="24"/>
          <w:szCs w:val="24"/>
          <w:highlight w:val="none"/>
        </w:rPr>
        <w:t>投标人</w:t>
      </w:r>
      <w:r>
        <w:rPr>
          <w:rFonts w:hint="eastAsia" w:ascii="宋体" w:hAnsi="宋体"/>
          <w:sz w:val="24"/>
          <w:szCs w:val="24"/>
          <w:highlight w:val="none"/>
        </w:rPr>
        <w:t>：</w:t>
      </w:r>
      <w:r>
        <w:rPr>
          <w:rFonts w:hint="eastAsia" w:ascii="宋体" w:hAnsi="宋体"/>
          <w:sz w:val="24"/>
          <w:szCs w:val="24"/>
          <w:highlight w:val="none"/>
          <w:u w:val="single"/>
        </w:rPr>
        <w:t>名称（盖章）</w:t>
      </w:r>
      <w:r>
        <w:rPr>
          <w:rFonts w:ascii="宋体"/>
          <w:sz w:val="24"/>
          <w:szCs w:val="24"/>
          <w:highlight w:val="none"/>
          <w:u w:val="single"/>
        </w:rPr>
        <w:tab/>
      </w:r>
      <w:r>
        <w:rPr>
          <w:rFonts w:ascii="宋体"/>
          <w:sz w:val="24"/>
          <w:szCs w:val="24"/>
          <w:highlight w:val="none"/>
          <w:u w:val="single"/>
        </w:rPr>
        <w:tab/>
      </w:r>
      <w:r>
        <w:rPr>
          <w:rFonts w:ascii="宋体"/>
          <w:sz w:val="24"/>
          <w:szCs w:val="24"/>
          <w:highlight w:val="none"/>
          <w:u w:val="single"/>
        </w:rPr>
        <w:tab/>
      </w:r>
      <w:r>
        <w:rPr>
          <w:rFonts w:ascii="宋体"/>
          <w:sz w:val="24"/>
          <w:szCs w:val="24"/>
          <w:highlight w:val="none"/>
          <w:u w:val="single"/>
        </w:rPr>
        <w:tab/>
      </w:r>
      <w:r>
        <w:rPr>
          <w:rFonts w:ascii="宋体"/>
          <w:sz w:val="24"/>
          <w:szCs w:val="24"/>
          <w:highlight w:val="none"/>
          <w:u w:val="single"/>
        </w:rPr>
        <w:tab/>
      </w:r>
      <w:r>
        <w:rPr>
          <w:rFonts w:ascii="宋体"/>
          <w:sz w:val="24"/>
          <w:szCs w:val="24"/>
          <w:highlight w:val="none"/>
          <w:u w:val="single"/>
        </w:rPr>
        <w:tab/>
      </w:r>
    </w:p>
    <w:p>
      <w:pPr>
        <w:pStyle w:val="13"/>
        <w:adjustRightInd w:val="0"/>
        <w:snapToGrid w:val="0"/>
        <w:spacing w:line="500" w:lineRule="exact"/>
        <w:ind w:left="0" w:leftChars="0" w:firstLine="480" w:firstLineChars="200"/>
        <w:rPr>
          <w:rFonts w:ascii="宋体"/>
          <w:sz w:val="24"/>
          <w:highlight w:val="none"/>
        </w:rPr>
      </w:pPr>
      <w:r>
        <w:rPr>
          <w:rFonts w:hint="eastAsia" w:ascii="宋体" w:hAnsi="宋体" w:cs="宋体"/>
          <w:sz w:val="24"/>
          <w:highlight w:val="none"/>
        </w:rPr>
        <w:t>单位地址</w:t>
      </w:r>
      <w:r>
        <w:rPr>
          <w:rFonts w:hint="eastAsia" w:ascii="宋体" w:hAnsi="宋体"/>
          <w:sz w:val="24"/>
          <w:highlight w:val="none"/>
        </w:rPr>
        <w:t>：</w:t>
      </w:r>
      <w:r>
        <w:rPr>
          <w:rFonts w:ascii="宋体"/>
          <w:sz w:val="24"/>
          <w:highlight w:val="none"/>
        </w:rPr>
        <w:tab/>
      </w:r>
    </w:p>
    <w:p>
      <w:pPr>
        <w:adjustRightInd w:val="0"/>
        <w:snapToGrid w:val="0"/>
        <w:spacing w:line="500" w:lineRule="exact"/>
        <w:ind w:firstLine="480" w:firstLineChars="200"/>
        <w:rPr>
          <w:rFonts w:ascii="宋体"/>
          <w:sz w:val="24"/>
          <w:szCs w:val="24"/>
          <w:highlight w:val="none"/>
          <w:u w:val="single"/>
        </w:rPr>
      </w:pPr>
      <w:r>
        <w:rPr>
          <w:rFonts w:hint="eastAsia" w:ascii="宋体" w:hAnsi="宋体" w:cs="宋体"/>
          <w:sz w:val="24"/>
          <w:szCs w:val="24"/>
          <w:highlight w:val="none"/>
        </w:rPr>
        <w:t>法定代表人或其委托代理人</w:t>
      </w:r>
      <w:r>
        <w:rPr>
          <w:rFonts w:hint="eastAsia" w:ascii="宋体" w:hAnsi="宋体"/>
          <w:sz w:val="24"/>
          <w:szCs w:val="24"/>
          <w:highlight w:val="none"/>
        </w:rPr>
        <w:t>：</w:t>
      </w:r>
      <w:r>
        <w:rPr>
          <w:rFonts w:hint="eastAsia" w:ascii="宋体" w:hAnsi="宋体"/>
          <w:sz w:val="24"/>
          <w:szCs w:val="24"/>
          <w:highlight w:val="none"/>
          <w:u w:val="single"/>
        </w:rPr>
        <w:t>（签字）</w:t>
      </w:r>
    </w:p>
    <w:p>
      <w:pPr>
        <w:adjustRightInd w:val="0"/>
        <w:snapToGrid w:val="0"/>
        <w:spacing w:line="500" w:lineRule="exact"/>
        <w:ind w:firstLine="480" w:firstLineChars="200"/>
        <w:rPr>
          <w:rFonts w:ascii="宋体"/>
          <w:sz w:val="24"/>
          <w:szCs w:val="24"/>
          <w:highlight w:val="none"/>
          <w:u w:val="single"/>
        </w:rPr>
      </w:pPr>
      <w:r>
        <w:rPr>
          <w:rFonts w:hint="eastAsia" w:ascii="宋体" w:hAnsi="宋体" w:cs="宋体"/>
          <w:sz w:val="24"/>
          <w:szCs w:val="24"/>
          <w:highlight w:val="none"/>
        </w:rPr>
        <w:t>邮政编码</w:t>
      </w:r>
      <w:r>
        <w:rPr>
          <w:rFonts w:hint="eastAsia" w:ascii="宋体" w:hAnsi="宋体"/>
          <w:sz w:val="24"/>
          <w:szCs w:val="24"/>
          <w:highlight w:val="none"/>
        </w:rPr>
        <w:t>：</w:t>
      </w:r>
      <w:r>
        <w:rPr>
          <w:rFonts w:ascii="宋体"/>
          <w:sz w:val="24"/>
          <w:szCs w:val="24"/>
          <w:highlight w:val="none"/>
          <w:u w:val="single"/>
        </w:rPr>
        <w:tab/>
      </w:r>
      <w:r>
        <w:rPr>
          <w:rFonts w:ascii="宋体"/>
          <w:sz w:val="24"/>
          <w:szCs w:val="24"/>
          <w:highlight w:val="none"/>
          <w:u w:val="single"/>
        </w:rPr>
        <w:tab/>
      </w:r>
      <w:r>
        <w:rPr>
          <w:rFonts w:hint="eastAsia" w:ascii="宋体" w:hAnsi="宋体"/>
          <w:sz w:val="24"/>
          <w:szCs w:val="24"/>
          <w:highlight w:val="none"/>
        </w:rPr>
        <w:t>电话：</w:t>
      </w:r>
      <w:r>
        <w:rPr>
          <w:rFonts w:ascii="宋体"/>
          <w:sz w:val="24"/>
          <w:szCs w:val="24"/>
          <w:highlight w:val="none"/>
          <w:u w:val="single"/>
        </w:rPr>
        <w:tab/>
      </w:r>
      <w:r>
        <w:rPr>
          <w:rFonts w:ascii="宋体"/>
          <w:sz w:val="24"/>
          <w:szCs w:val="24"/>
          <w:highlight w:val="none"/>
          <w:u w:val="single"/>
        </w:rPr>
        <w:tab/>
      </w:r>
      <w:r>
        <w:rPr>
          <w:rFonts w:hint="eastAsia" w:ascii="宋体"/>
          <w:sz w:val="24"/>
          <w:szCs w:val="24"/>
          <w:highlight w:val="none"/>
          <w:u w:val="single"/>
          <w:lang w:val="en-US" w:eastAsia="zh-CN"/>
        </w:rPr>
        <w:t xml:space="preserve">  </w:t>
      </w:r>
      <w:r>
        <w:rPr>
          <w:rFonts w:hint="eastAsia" w:ascii="宋体" w:hAnsi="宋体"/>
          <w:sz w:val="24"/>
          <w:szCs w:val="24"/>
          <w:highlight w:val="none"/>
        </w:rPr>
        <w:t>传真：</w:t>
      </w:r>
      <w:r>
        <w:rPr>
          <w:rFonts w:ascii="宋体"/>
          <w:sz w:val="24"/>
          <w:szCs w:val="24"/>
          <w:highlight w:val="none"/>
          <w:u w:val="single"/>
        </w:rPr>
        <w:tab/>
      </w:r>
      <w:r>
        <w:rPr>
          <w:rFonts w:hint="eastAsia" w:ascii="宋体"/>
          <w:sz w:val="24"/>
          <w:szCs w:val="24"/>
          <w:highlight w:val="none"/>
          <w:u w:val="single"/>
          <w:lang w:val="en-US" w:eastAsia="zh-CN"/>
        </w:rPr>
        <w:t xml:space="preserve">     </w:t>
      </w:r>
      <w:r>
        <w:rPr>
          <w:rFonts w:ascii="宋体"/>
          <w:sz w:val="24"/>
          <w:szCs w:val="24"/>
          <w:highlight w:val="none"/>
          <w:u w:val="single"/>
        </w:rPr>
        <w:tab/>
      </w:r>
    </w:p>
    <w:p>
      <w:pPr>
        <w:adjustRightInd w:val="0"/>
        <w:snapToGrid w:val="0"/>
        <w:spacing w:line="500" w:lineRule="exact"/>
        <w:rPr>
          <w:rFonts w:ascii="宋体"/>
          <w:b/>
          <w:sz w:val="24"/>
          <w:szCs w:val="24"/>
          <w:highlight w:val="none"/>
        </w:rPr>
      </w:pPr>
      <w:r>
        <w:rPr>
          <w:rFonts w:ascii="宋体"/>
          <w:sz w:val="24"/>
          <w:szCs w:val="24"/>
          <w:highlight w:val="none"/>
        </w:rPr>
        <w:tab/>
      </w:r>
      <w:r>
        <w:rPr>
          <w:rFonts w:hint="eastAsia" w:ascii="宋体" w:hAnsi="宋体" w:cs="宋体"/>
          <w:sz w:val="24"/>
          <w:szCs w:val="24"/>
          <w:highlight w:val="none"/>
        </w:rPr>
        <w:t>日期</w:t>
      </w:r>
      <w:r>
        <w:rPr>
          <w:rFonts w:hint="eastAsia" w:ascii="宋体" w:hAnsi="宋体"/>
          <w:sz w:val="24"/>
          <w:szCs w:val="24"/>
          <w:highlight w:val="none"/>
        </w:rPr>
        <w:t>：</w:t>
      </w:r>
      <w:r>
        <w:rPr>
          <w:rFonts w:ascii="宋体" w:hAnsi="宋体"/>
          <w:sz w:val="24"/>
          <w:szCs w:val="24"/>
          <w:highlight w:val="none"/>
        </w:rPr>
        <w:t>20</w:t>
      </w:r>
      <w:r>
        <w:rPr>
          <w:rFonts w:hint="eastAsia" w:ascii="宋体" w:hAnsi="宋体"/>
          <w:sz w:val="24"/>
          <w:szCs w:val="24"/>
          <w:highlight w:val="none"/>
        </w:rPr>
        <w:t>21</w:t>
      </w:r>
      <w:r>
        <w:rPr>
          <w:rFonts w:ascii="宋体" w:hAnsi="宋体"/>
          <w:sz w:val="24"/>
          <w:szCs w:val="24"/>
          <w:highlight w:val="none"/>
        </w:rPr>
        <w:t xml:space="preserve">年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pPr>
        <w:spacing w:line="500" w:lineRule="exact"/>
        <w:rPr>
          <w:rFonts w:ascii="宋体" w:cs="宋体"/>
          <w:sz w:val="28"/>
          <w:szCs w:val="28"/>
          <w:highlight w:val="none"/>
        </w:rPr>
      </w:pPr>
    </w:p>
    <w:p>
      <w:pPr>
        <w:spacing w:line="500" w:lineRule="exact"/>
        <w:jc w:val="center"/>
        <w:rPr>
          <w:rFonts w:ascii="宋体" w:cs="宋体"/>
          <w:b/>
          <w:sz w:val="24"/>
          <w:szCs w:val="24"/>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720" w:firstLineChars="200"/>
        <w:rPr>
          <w:rFonts w:ascii="宋体" w:hAnsi="宋体" w:cs="宋体"/>
          <w:b w:val="0"/>
          <w:bCs/>
          <w:sz w:val="36"/>
          <w:szCs w:val="36"/>
          <w:highlight w:val="none"/>
        </w:rPr>
      </w:pPr>
    </w:p>
    <w:p>
      <w:pPr>
        <w:pStyle w:val="16"/>
        <w:spacing w:line="500" w:lineRule="exact"/>
        <w:ind w:firstLine="360" w:firstLineChars="100"/>
        <w:rPr>
          <w:rFonts w:ascii="宋体" w:hAnsi="宋体" w:cs="宋体"/>
          <w:b w:val="0"/>
          <w:bCs/>
          <w:sz w:val="36"/>
          <w:szCs w:val="36"/>
          <w:highlight w:val="none"/>
        </w:rPr>
      </w:pPr>
    </w:p>
    <w:p>
      <w:pPr>
        <w:rPr>
          <w:highlight w:val="none"/>
        </w:rPr>
      </w:pPr>
    </w:p>
    <w:p>
      <w:pPr>
        <w:pStyle w:val="24"/>
        <w:ind w:firstLine="200"/>
        <w:rPr>
          <w:highlight w:val="none"/>
        </w:rPr>
      </w:pPr>
    </w:p>
    <w:p>
      <w:pPr>
        <w:pStyle w:val="24"/>
        <w:ind w:firstLine="200"/>
        <w:rPr>
          <w:highlight w:val="none"/>
        </w:rPr>
      </w:pPr>
    </w:p>
    <w:p>
      <w:pPr>
        <w:pStyle w:val="24"/>
        <w:ind w:firstLine="200"/>
        <w:rPr>
          <w:highlight w:val="none"/>
        </w:rPr>
      </w:pPr>
    </w:p>
    <w:p>
      <w:pPr>
        <w:pStyle w:val="16"/>
        <w:spacing w:line="500" w:lineRule="exact"/>
        <w:ind w:firstLine="360" w:firstLineChars="100"/>
        <w:rPr>
          <w:rFonts w:ascii="宋体" w:cs="宋体"/>
          <w:b w:val="0"/>
          <w:bCs/>
          <w:sz w:val="36"/>
          <w:szCs w:val="36"/>
          <w:highlight w:val="none"/>
        </w:rPr>
      </w:pPr>
      <w:r>
        <w:rPr>
          <w:rFonts w:hint="eastAsia" w:ascii="宋体" w:hAnsi="宋体" w:cs="宋体"/>
          <w:b w:val="0"/>
          <w:bCs/>
          <w:sz w:val="36"/>
          <w:szCs w:val="36"/>
          <w:highlight w:val="none"/>
        </w:rPr>
        <w:t>二、投标单位基本情况（格式自拟）</w:t>
      </w:r>
    </w:p>
    <w:p>
      <w:pPr>
        <w:pStyle w:val="16"/>
        <w:spacing w:line="500" w:lineRule="exact"/>
        <w:rPr>
          <w:rFonts w:ascii="宋体" w:cs="宋体"/>
          <w:b w:val="0"/>
          <w:bCs/>
          <w:sz w:val="36"/>
          <w:szCs w:val="36"/>
          <w:highlight w:val="none"/>
        </w:rPr>
      </w:pPr>
    </w:p>
    <w:p>
      <w:pPr>
        <w:pStyle w:val="16"/>
        <w:spacing w:line="500" w:lineRule="exact"/>
        <w:ind w:firstLine="720" w:firstLineChars="200"/>
        <w:rPr>
          <w:rFonts w:asci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p>
    <w:p>
      <w:pPr>
        <w:rPr>
          <w:highlight w:val="none"/>
        </w:rPr>
      </w:pPr>
    </w:p>
    <w:p>
      <w:pPr>
        <w:pStyle w:val="24"/>
        <w:ind w:firstLine="200"/>
        <w:rPr>
          <w:highlight w:val="none"/>
        </w:rPr>
      </w:pPr>
    </w:p>
    <w:p>
      <w:pPr>
        <w:pStyle w:val="16"/>
        <w:spacing w:line="500" w:lineRule="exact"/>
        <w:jc w:val="center"/>
        <w:rPr>
          <w:rFonts w:ascii="宋体" w:hAnsi="宋体" w:cs="宋体"/>
          <w:b w:val="0"/>
          <w:bCs/>
          <w:sz w:val="36"/>
          <w:szCs w:val="36"/>
          <w:highlight w:val="none"/>
        </w:rPr>
      </w:pPr>
      <w:r>
        <w:rPr>
          <w:rFonts w:hint="eastAsia" w:ascii="宋体" w:hAnsi="宋体" w:cs="宋体"/>
          <w:b w:val="0"/>
          <w:bCs/>
          <w:sz w:val="36"/>
          <w:szCs w:val="36"/>
          <w:highlight w:val="none"/>
        </w:rPr>
        <w:t>三、法定代表人身份证明及授权委托书</w:t>
      </w: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Ansi="宋体" w:cs="宋体"/>
          <w:b w:val="0"/>
          <w:bCs/>
          <w:sz w:val="36"/>
          <w:szCs w:val="36"/>
          <w:highlight w:val="none"/>
        </w:rPr>
      </w:pPr>
      <w:r>
        <w:rPr>
          <w:rFonts w:hint="eastAsia" w:ascii="宋体" w:hAnsi="宋体" w:cs="宋体"/>
          <w:b w:val="0"/>
          <w:bCs/>
          <w:sz w:val="36"/>
          <w:szCs w:val="36"/>
          <w:highlight w:val="none"/>
        </w:rPr>
        <w:t>法定代表人身份证明书</w:t>
      </w:r>
    </w:p>
    <w:p>
      <w:pPr>
        <w:tabs>
          <w:tab w:val="left" w:pos="1160"/>
          <w:tab w:val="left" w:pos="2740"/>
          <w:tab w:val="left" w:pos="3580"/>
          <w:tab w:val="left" w:pos="4100"/>
          <w:tab w:val="left" w:pos="4420"/>
          <w:tab w:val="left" w:pos="5460"/>
          <w:tab w:val="left" w:pos="6200"/>
        </w:tabs>
        <w:autoSpaceDE w:val="0"/>
        <w:autoSpaceDN w:val="0"/>
        <w:adjustRightInd w:val="0"/>
        <w:ind w:left="538" w:right="2273" w:firstLine="420"/>
        <w:jc w:val="left"/>
        <w:rPr>
          <w:rFonts w:ascii="宋体" w:hAnsi="宋体" w:cs="宋体"/>
          <w:kern w:val="0"/>
          <w:highlight w:val="none"/>
        </w:rPr>
      </w:pPr>
    </w:p>
    <w:p>
      <w:pPr>
        <w:tabs>
          <w:tab w:val="left" w:pos="1160"/>
          <w:tab w:val="left" w:pos="2740"/>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rPr>
      </w:pPr>
      <w:r>
        <w:rPr>
          <w:rFonts w:hint="eastAsia" w:ascii="宋体" w:hAnsi="宋体" w:cs="宋体"/>
          <w:kern w:val="0"/>
          <w:sz w:val="24"/>
          <w:szCs w:val="24"/>
          <w:highlight w:val="none"/>
        </w:rPr>
        <w:t>投</w:t>
      </w:r>
      <w:r>
        <w:rPr>
          <w:rFonts w:ascii="宋体" w:hAnsi="宋体" w:cs="宋体"/>
          <w:kern w:val="0"/>
          <w:sz w:val="24"/>
          <w:szCs w:val="24"/>
          <w:highlight w:val="none"/>
        </w:rPr>
        <w:t xml:space="preserve"> </w:t>
      </w:r>
      <w:r>
        <w:rPr>
          <w:rFonts w:hint="eastAsia" w:ascii="宋体" w:hAnsi="宋体" w:cs="宋体"/>
          <w:kern w:val="0"/>
          <w:sz w:val="24"/>
          <w:szCs w:val="24"/>
          <w:highlight w:val="none"/>
        </w:rPr>
        <w:t>标</w:t>
      </w:r>
      <w:r>
        <w:rPr>
          <w:rFonts w:ascii="宋体" w:hAnsi="宋体" w:cs="宋体"/>
          <w:kern w:val="0"/>
          <w:sz w:val="24"/>
          <w:szCs w:val="24"/>
          <w:highlight w:val="none"/>
        </w:rPr>
        <w:t xml:space="preserve"> </w:t>
      </w:r>
      <w:r>
        <w:rPr>
          <w:rFonts w:hint="eastAsia" w:ascii="宋体" w:hAnsi="宋体" w:cs="宋体"/>
          <w:kern w:val="0"/>
          <w:sz w:val="24"/>
          <w:szCs w:val="24"/>
          <w:highlight w:val="none"/>
        </w:rPr>
        <w:t>人</w:t>
      </w:r>
      <w:r>
        <w:rPr>
          <w:rFonts w:hint="eastAsia" w:ascii="宋体" w:hAnsi="宋体" w:cs="宋体"/>
          <w:spacing w:val="-1"/>
          <w:kern w:val="0"/>
          <w:sz w:val="24"/>
          <w:szCs w:val="24"/>
          <w:highlight w:val="none"/>
        </w:rPr>
        <w:t>：</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rPr>
        <w:t xml:space="preserve"> </w:t>
      </w:r>
    </w:p>
    <w:p>
      <w:pPr>
        <w:tabs>
          <w:tab w:val="left" w:pos="1160"/>
          <w:tab w:val="left" w:pos="2740"/>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rPr>
      </w:pPr>
      <w:r>
        <w:rPr>
          <w:rFonts w:hint="eastAsia" w:ascii="宋体" w:hAnsi="宋体" w:cs="宋体"/>
          <w:kern w:val="0"/>
          <w:sz w:val="24"/>
          <w:szCs w:val="24"/>
          <w:highlight w:val="none"/>
        </w:rPr>
        <w:t>单位性质：</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rPr>
        <w:t xml:space="preserve"> </w:t>
      </w:r>
    </w:p>
    <w:p>
      <w:pPr>
        <w:tabs>
          <w:tab w:val="left" w:pos="1160"/>
          <w:tab w:val="left" w:pos="2325"/>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rPr>
      </w:pPr>
      <w:r>
        <w:rPr>
          <w:rFonts w:hint="eastAsia" w:ascii="宋体" w:hAnsi="宋体" w:cs="宋体"/>
          <w:kern w:val="0"/>
          <w:sz w:val="24"/>
          <w:szCs w:val="24"/>
          <w:highlight w:val="none"/>
        </w:rPr>
        <w:t>地</w:t>
      </w:r>
      <w:r>
        <w:rPr>
          <w:rFonts w:ascii="宋体" w:hAnsi="宋体" w:cs="宋体"/>
          <w:kern w:val="0"/>
          <w:sz w:val="24"/>
          <w:szCs w:val="24"/>
          <w:highlight w:val="none"/>
        </w:rPr>
        <w:t xml:space="preserve">    </w:t>
      </w:r>
      <w:r>
        <w:rPr>
          <w:rFonts w:hint="eastAsia" w:ascii="宋体" w:hAnsi="宋体" w:cs="宋体"/>
          <w:kern w:val="0"/>
          <w:sz w:val="24"/>
          <w:szCs w:val="24"/>
          <w:highlight w:val="none"/>
        </w:rPr>
        <w:t>址</w:t>
      </w:r>
      <w:r>
        <w:rPr>
          <w:rFonts w:hint="eastAsia" w:ascii="宋体" w:hAnsi="宋体" w:cs="宋体"/>
          <w:spacing w:val="-1"/>
          <w:kern w:val="0"/>
          <w:sz w:val="24"/>
          <w:szCs w:val="24"/>
          <w:highlight w:val="none"/>
        </w:rPr>
        <w:t>：</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rPr>
        <w:t xml:space="preserve"> </w:t>
      </w:r>
    </w:p>
    <w:p>
      <w:pPr>
        <w:tabs>
          <w:tab w:val="left" w:pos="1160"/>
          <w:tab w:val="left" w:pos="2740"/>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rPr>
      </w:pPr>
      <w:r>
        <w:rPr>
          <w:rFonts w:hint="eastAsia" w:ascii="宋体" w:hAnsi="宋体" w:cs="宋体"/>
          <w:kern w:val="0"/>
          <w:sz w:val="24"/>
          <w:szCs w:val="24"/>
          <w:highlight w:val="none"/>
        </w:rPr>
        <w:t>成立时间：</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rPr>
        <w:t xml:space="preserve"> </w:t>
      </w:r>
      <w:r>
        <w:rPr>
          <w:rFonts w:hint="eastAsia" w:ascii="宋体" w:hAnsi="宋体" w:cs="宋体"/>
          <w:kern w:val="0"/>
          <w:sz w:val="24"/>
          <w:szCs w:val="24"/>
          <w:highlight w:val="none"/>
        </w:rPr>
        <w:t>年</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hint="eastAsia" w:ascii="宋体" w:hAnsi="宋体" w:cs="宋体"/>
          <w:spacing w:val="-1"/>
          <w:kern w:val="0"/>
          <w:sz w:val="24"/>
          <w:szCs w:val="24"/>
          <w:highlight w:val="none"/>
        </w:rPr>
        <w:t>月</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hint="eastAsia" w:ascii="宋体" w:hAnsi="宋体" w:cs="宋体"/>
          <w:kern w:val="0"/>
          <w:sz w:val="24"/>
          <w:szCs w:val="24"/>
          <w:highlight w:val="none"/>
        </w:rPr>
        <w:t>日</w:t>
      </w:r>
      <w:r>
        <w:rPr>
          <w:rFonts w:ascii="宋体" w:hAnsi="宋体" w:cs="宋体"/>
          <w:kern w:val="0"/>
          <w:sz w:val="24"/>
          <w:szCs w:val="24"/>
          <w:highlight w:val="none"/>
        </w:rPr>
        <w:t xml:space="preserve"> </w:t>
      </w:r>
    </w:p>
    <w:p>
      <w:pPr>
        <w:tabs>
          <w:tab w:val="left" w:pos="1160"/>
          <w:tab w:val="left" w:pos="2740"/>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rPr>
      </w:pPr>
      <w:r>
        <w:rPr>
          <w:rFonts w:hint="eastAsia" w:ascii="宋体" w:hAnsi="宋体" w:cs="宋体"/>
          <w:kern w:val="0"/>
          <w:sz w:val="24"/>
          <w:szCs w:val="24"/>
          <w:highlight w:val="none"/>
        </w:rPr>
        <w:t>经营期限：</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rPr>
        <w:t xml:space="preserve"> </w:t>
      </w:r>
    </w:p>
    <w:p>
      <w:pPr>
        <w:tabs>
          <w:tab w:val="left" w:pos="1160"/>
          <w:tab w:val="left" w:pos="2740"/>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u w:val="single"/>
        </w:rPr>
      </w:pPr>
      <w:r>
        <w:rPr>
          <w:rFonts w:hint="eastAsia" w:ascii="宋体" w:hAnsi="宋体" w:cs="宋体"/>
          <w:kern w:val="0"/>
          <w:sz w:val="24"/>
          <w:szCs w:val="24"/>
          <w:highlight w:val="none"/>
        </w:rPr>
        <w:t>姓</w:t>
      </w:r>
      <w:r>
        <w:rPr>
          <w:rFonts w:ascii="宋体" w:hAnsi="宋体" w:cs="宋体"/>
          <w:kern w:val="0"/>
          <w:sz w:val="24"/>
          <w:szCs w:val="24"/>
          <w:highlight w:val="none"/>
        </w:rPr>
        <w:t xml:space="preserve">    </w:t>
      </w:r>
      <w:r>
        <w:rPr>
          <w:rFonts w:hint="eastAsia" w:ascii="宋体" w:hAnsi="宋体" w:cs="宋体"/>
          <w:kern w:val="0"/>
          <w:sz w:val="24"/>
          <w:szCs w:val="24"/>
          <w:highlight w:val="none"/>
        </w:rPr>
        <w:t>名</w:t>
      </w:r>
      <w:r>
        <w:rPr>
          <w:rFonts w:hint="eastAsia" w:ascii="宋体" w:hAnsi="宋体" w:cs="宋体"/>
          <w:spacing w:val="-1"/>
          <w:kern w:val="0"/>
          <w:sz w:val="24"/>
          <w:szCs w:val="24"/>
          <w:highlight w:val="none"/>
        </w:rPr>
        <w:t>：</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p>
    <w:p>
      <w:pPr>
        <w:tabs>
          <w:tab w:val="left" w:pos="1160"/>
          <w:tab w:val="left" w:pos="2740"/>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rPr>
      </w:pPr>
      <w:r>
        <w:rPr>
          <w:rFonts w:hint="eastAsia" w:ascii="宋体" w:hAnsi="宋体" w:cs="宋体"/>
          <w:kern w:val="0"/>
          <w:sz w:val="24"/>
          <w:szCs w:val="24"/>
          <w:highlight w:val="none"/>
        </w:rPr>
        <w:t>性</w:t>
      </w:r>
      <w:r>
        <w:rPr>
          <w:rFonts w:ascii="宋体" w:hAnsi="宋体" w:cs="宋体"/>
          <w:kern w:val="0"/>
          <w:sz w:val="24"/>
          <w:szCs w:val="24"/>
          <w:highlight w:val="none"/>
        </w:rPr>
        <w:t xml:space="preserve">     </w:t>
      </w:r>
      <w:r>
        <w:rPr>
          <w:rFonts w:hint="eastAsia" w:ascii="宋体" w:hAnsi="宋体" w:cs="宋体"/>
          <w:kern w:val="0"/>
          <w:sz w:val="24"/>
          <w:szCs w:val="24"/>
          <w:highlight w:val="none"/>
        </w:rPr>
        <w:t>别</w:t>
      </w:r>
      <w:r>
        <w:rPr>
          <w:rFonts w:hint="eastAsia" w:ascii="宋体" w:hAnsi="宋体" w:cs="宋体"/>
          <w:spacing w:val="-1"/>
          <w:kern w:val="0"/>
          <w:sz w:val="24"/>
          <w:szCs w:val="24"/>
          <w:highlight w:val="none"/>
        </w:rPr>
        <w:t>：</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rPr>
        <w:t xml:space="preserve"> </w:t>
      </w:r>
    </w:p>
    <w:p>
      <w:pPr>
        <w:tabs>
          <w:tab w:val="left" w:pos="1160"/>
          <w:tab w:val="left" w:pos="2740"/>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rPr>
      </w:pPr>
      <w:r>
        <w:rPr>
          <w:rFonts w:hint="eastAsia" w:ascii="宋体" w:hAnsi="宋体" w:cs="宋体"/>
          <w:kern w:val="0"/>
          <w:sz w:val="24"/>
          <w:szCs w:val="24"/>
          <w:highlight w:val="none"/>
        </w:rPr>
        <w:t>年</w:t>
      </w:r>
      <w:r>
        <w:rPr>
          <w:rFonts w:ascii="宋体" w:hAnsi="宋体" w:cs="宋体"/>
          <w:kern w:val="0"/>
          <w:sz w:val="24"/>
          <w:szCs w:val="24"/>
          <w:highlight w:val="none"/>
        </w:rPr>
        <w:t xml:space="preserve">    </w:t>
      </w:r>
      <w:r>
        <w:rPr>
          <w:rFonts w:hint="eastAsia" w:ascii="宋体" w:hAnsi="宋体" w:cs="宋体"/>
          <w:kern w:val="0"/>
          <w:sz w:val="24"/>
          <w:szCs w:val="24"/>
          <w:highlight w:val="none"/>
        </w:rPr>
        <w:t>龄</w:t>
      </w:r>
      <w:r>
        <w:rPr>
          <w:rFonts w:hint="eastAsia" w:ascii="宋体" w:hAnsi="宋体" w:cs="宋体"/>
          <w:spacing w:val="-1"/>
          <w:kern w:val="0"/>
          <w:sz w:val="24"/>
          <w:szCs w:val="24"/>
          <w:highlight w:val="none"/>
        </w:rPr>
        <w:t>：</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r>
        <w:rPr>
          <w:rFonts w:ascii="宋体" w:hAnsi="宋体" w:cs="宋体"/>
          <w:kern w:val="0"/>
          <w:sz w:val="24"/>
          <w:szCs w:val="24"/>
          <w:highlight w:val="none"/>
        </w:rPr>
        <w:t xml:space="preserve"> </w:t>
      </w:r>
    </w:p>
    <w:p>
      <w:pPr>
        <w:tabs>
          <w:tab w:val="left" w:pos="1160"/>
          <w:tab w:val="left" w:pos="2325"/>
          <w:tab w:val="left" w:pos="3580"/>
          <w:tab w:val="left" w:pos="4100"/>
          <w:tab w:val="left" w:pos="4420"/>
          <w:tab w:val="left" w:pos="5460"/>
          <w:tab w:val="left" w:pos="6200"/>
        </w:tabs>
        <w:autoSpaceDE w:val="0"/>
        <w:autoSpaceDN w:val="0"/>
        <w:adjustRightInd w:val="0"/>
        <w:ind w:left="538" w:right="2273" w:firstLine="480"/>
        <w:jc w:val="left"/>
        <w:rPr>
          <w:rFonts w:ascii="宋体" w:hAnsi="宋体" w:cs="宋体"/>
          <w:kern w:val="0"/>
          <w:sz w:val="24"/>
          <w:szCs w:val="24"/>
          <w:highlight w:val="none"/>
        </w:rPr>
      </w:pPr>
      <w:r>
        <w:rPr>
          <w:rFonts w:hint="eastAsia" w:ascii="宋体" w:hAnsi="宋体" w:cs="宋体"/>
          <w:kern w:val="0"/>
          <w:sz w:val="24"/>
          <w:szCs w:val="24"/>
          <w:highlight w:val="none"/>
        </w:rPr>
        <w:t>职</w:t>
      </w:r>
      <w:r>
        <w:rPr>
          <w:rFonts w:ascii="宋体" w:hAnsi="宋体" w:cs="宋体"/>
          <w:kern w:val="0"/>
          <w:sz w:val="24"/>
          <w:szCs w:val="24"/>
          <w:highlight w:val="none"/>
        </w:rPr>
        <w:t xml:space="preserve">     </w:t>
      </w:r>
      <w:r>
        <w:rPr>
          <w:rFonts w:hint="eastAsia" w:ascii="宋体" w:hAnsi="宋体" w:cs="宋体"/>
          <w:kern w:val="0"/>
          <w:sz w:val="24"/>
          <w:szCs w:val="24"/>
          <w:highlight w:val="none"/>
        </w:rPr>
        <w:t>务</w:t>
      </w:r>
      <w:r>
        <w:rPr>
          <w:rFonts w:hint="eastAsia" w:ascii="宋体" w:hAnsi="宋体" w:cs="宋体"/>
          <w:spacing w:val="-1"/>
          <w:kern w:val="0"/>
          <w:sz w:val="24"/>
          <w:szCs w:val="24"/>
          <w:highlight w:val="none"/>
        </w:rPr>
        <w:t>：</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ascii="宋体" w:hAnsi="宋体" w:cs="宋体"/>
          <w:kern w:val="0"/>
          <w:sz w:val="24"/>
          <w:szCs w:val="24"/>
          <w:highlight w:val="none"/>
          <w:u w:val="single"/>
        </w:rPr>
        <w:tab/>
      </w:r>
    </w:p>
    <w:p>
      <w:pPr>
        <w:tabs>
          <w:tab w:val="left" w:pos="4940"/>
        </w:tabs>
        <w:autoSpaceDE w:val="0"/>
        <w:autoSpaceDN w:val="0"/>
        <w:adjustRightInd w:val="0"/>
        <w:spacing w:before="31"/>
        <w:ind w:left="538" w:right="487" w:firstLine="480"/>
        <w:jc w:val="left"/>
        <w:rPr>
          <w:rFonts w:ascii="宋体" w:hAnsi="宋体" w:cs="宋体"/>
          <w:kern w:val="0"/>
          <w:sz w:val="24"/>
          <w:szCs w:val="24"/>
          <w:highlight w:val="none"/>
        </w:rPr>
      </w:pPr>
      <w:r>
        <w:rPr>
          <w:rFonts w:hint="eastAsia" w:ascii="宋体" w:hAnsi="宋体" w:cs="宋体"/>
          <w:kern w:val="0"/>
          <w:sz w:val="24"/>
          <w:szCs w:val="24"/>
          <w:highlight w:val="none"/>
        </w:rPr>
        <w:t>系</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hint="eastAsia" w:ascii="宋体" w:hAnsi="宋体" w:cs="宋体"/>
          <w:kern w:val="0"/>
          <w:sz w:val="24"/>
          <w:szCs w:val="24"/>
          <w:highlight w:val="none"/>
        </w:rPr>
        <w:t>（投标人名称）的法定代表人。</w:t>
      </w:r>
      <w:r>
        <w:rPr>
          <w:rFonts w:ascii="宋体" w:hAnsi="宋体" w:cs="宋体"/>
          <w:kern w:val="0"/>
          <w:sz w:val="24"/>
          <w:szCs w:val="24"/>
          <w:highlight w:val="none"/>
        </w:rPr>
        <w:t xml:space="preserve"> </w:t>
      </w:r>
      <w:r>
        <w:rPr>
          <w:rFonts w:hint="eastAsia" w:ascii="宋体" w:hAnsi="宋体" w:cs="宋体"/>
          <w:kern w:val="0"/>
          <w:sz w:val="24"/>
          <w:szCs w:val="24"/>
          <w:highlight w:val="none"/>
        </w:rPr>
        <w:t>特此证明。</w:t>
      </w:r>
    </w:p>
    <w:p>
      <w:pPr>
        <w:tabs>
          <w:tab w:val="left" w:pos="6920"/>
        </w:tabs>
        <w:autoSpaceDE w:val="0"/>
        <w:autoSpaceDN w:val="0"/>
        <w:adjustRightInd w:val="0"/>
        <w:ind w:left="3686" w:right="-20" w:firstLine="480"/>
        <w:jc w:val="left"/>
        <w:rPr>
          <w:rFonts w:ascii="宋体" w:hAnsi="宋体" w:cs="宋体"/>
          <w:kern w:val="0"/>
          <w:sz w:val="24"/>
          <w:szCs w:val="24"/>
          <w:highlight w:val="none"/>
        </w:rPr>
      </w:pPr>
    </w:p>
    <w:p>
      <w:pPr>
        <w:tabs>
          <w:tab w:val="left" w:pos="6920"/>
        </w:tabs>
        <w:autoSpaceDE w:val="0"/>
        <w:autoSpaceDN w:val="0"/>
        <w:adjustRightInd w:val="0"/>
        <w:ind w:left="3686" w:right="-20" w:firstLine="480"/>
        <w:jc w:val="left"/>
        <w:rPr>
          <w:rFonts w:ascii="宋体" w:hAnsi="宋体" w:cs="宋体"/>
          <w:kern w:val="0"/>
          <w:sz w:val="24"/>
          <w:szCs w:val="24"/>
          <w:highlight w:val="none"/>
        </w:rPr>
      </w:pPr>
      <w:r>
        <w:rPr>
          <w:rFonts w:hint="eastAsia" w:ascii="宋体" w:hAnsi="宋体" w:cs="宋体"/>
          <w:kern w:val="0"/>
          <w:sz w:val="24"/>
          <w:szCs w:val="24"/>
          <w:highlight w:val="none"/>
        </w:rPr>
        <w:t>投标人：</w:t>
      </w:r>
      <w:r>
        <w:rPr>
          <w:rFonts w:ascii="宋体" w:hAnsi="宋体" w:cs="宋体"/>
          <w:kern w:val="0"/>
          <w:sz w:val="24"/>
          <w:szCs w:val="24"/>
          <w:highlight w:val="none"/>
          <w:u w:val="single"/>
        </w:rPr>
        <w:t xml:space="preserve"> </w:t>
      </w:r>
      <w:r>
        <w:rPr>
          <w:rFonts w:ascii="宋体" w:hAnsi="宋体" w:cs="宋体"/>
          <w:kern w:val="0"/>
          <w:sz w:val="24"/>
          <w:szCs w:val="24"/>
          <w:highlight w:val="none"/>
          <w:u w:val="single"/>
        </w:rPr>
        <w:tab/>
      </w:r>
      <w:r>
        <w:rPr>
          <w:rFonts w:hint="eastAsia" w:ascii="宋体" w:hAnsi="宋体" w:cs="宋体"/>
          <w:kern w:val="0"/>
          <w:sz w:val="24"/>
          <w:szCs w:val="24"/>
          <w:highlight w:val="none"/>
        </w:rPr>
        <w:t>（盖单位章）</w:t>
      </w:r>
    </w:p>
    <w:p>
      <w:pPr>
        <w:autoSpaceDE w:val="0"/>
        <w:autoSpaceDN w:val="0"/>
        <w:adjustRightInd w:val="0"/>
        <w:spacing w:before="75"/>
        <w:ind w:right="145" w:firstLine="228" w:firstLineChars="95"/>
        <w:rPr>
          <w:rFonts w:ascii="宋体" w:hAnsi="宋体" w:cs="宋体"/>
          <w:kern w:val="0"/>
          <w:position w:val="-2"/>
          <w:sz w:val="24"/>
          <w:szCs w:val="24"/>
          <w:highlight w:val="none"/>
          <w:u w:val="single"/>
        </w:rPr>
      </w:pPr>
    </w:p>
    <w:p>
      <w:pPr>
        <w:autoSpaceDE w:val="0"/>
        <w:autoSpaceDN w:val="0"/>
        <w:adjustRightInd w:val="0"/>
        <w:spacing w:before="75"/>
        <w:ind w:right="145" w:firstLine="228" w:firstLineChars="95"/>
        <w:jc w:val="right"/>
        <w:rPr>
          <w:rFonts w:ascii="宋体" w:hAnsi="宋体" w:cs="宋体"/>
          <w:kern w:val="0"/>
          <w:position w:val="-2"/>
          <w:sz w:val="24"/>
          <w:szCs w:val="24"/>
          <w:highlight w:val="none"/>
        </w:rPr>
      </w:pPr>
      <w:r>
        <w:rPr>
          <w:rFonts w:ascii="宋体" w:hAnsi="宋体" w:cs="宋体"/>
          <w:kern w:val="0"/>
          <w:position w:val="-2"/>
          <w:sz w:val="24"/>
          <w:szCs w:val="24"/>
          <w:highlight w:val="none"/>
          <w:u w:val="single"/>
        </w:rPr>
        <w:tab/>
      </w:r>
      <w:r>
        <w:rPr>
          <w:rFonts w:hint="eastAsia" w:ascii="宋体" w:hAnsi="宋体" w:cs="宋体"/>
          <w:spacing w:val="-1"/>
          <w:kern w:val="0"/>
          <w:position w:val="-2"/>
          <w:sz w:val="24"/>
          <w:szCs w:val="24"/>
          <w:highlight w:val="none"/>
        </w:rPr>
        <w:t>年</w:t>
      </w:r>
      <w:r>
        <w:rPr>
          <w:rFonts w:ascii="宋体" w:hAnsi="宋体" w:cs="宋体"/>
          <w:kern w:val="0"/>
          <w:position w:val="-2"/>
          <w:sz w:val="24"/>
          <w:szCs w:val="24"/>
          <w:highlight w:val="none"/>
          <w:u w:val="single"/>
        </w:rPr>
        <w:t xml:space="preserve"> </w:t>
      </w:r>
      <w:r>
        <w:rPr>
          <w:rFonts w:ascii="宋体" w:hAnsi="宋体" w:cs="宋体"/>
          <w:kern w:val="0"/>
          <w:position w:val="-2"/>
          <w:sz w:val="24"/>
          <w:szCs w:val="24"/>
          <w:highlight w:val="none"/>
          <w:u w:val="single"/>
        </w:rPr>
        <w:tab/>
      </w:r>
      <w:r>
        <w:rPr>
          <w:rFonts w:hint="eastAsia" w:ascii="宋体" w:hAnsi="宋体" w:cs="宋体"/>
          <w:kern w:val="0"/>
          <w:position w:val="-2"/>
          <w:sz w:val="24"/>
          <w:szCs w:val="24"/>
          <w:highlight w:val="none"/>
        </w:rPr>
        <w:t>月</w:t>
      </w:r>
      <w:r>
        <w:rPr>
          <w:rFonts w:ascii="宋体" w:hAnsi="宋体" w:cs="宋体"/>
          <w:kern w:val="0"/>
          <w:position w:val="-2"/>
          <w:sz w:val="24"/>
          <w:szCs w:val="24"/>
          <w:highlight w:val="none"/>
          <w:u w:val="single"/>
        </w:rPr>
        <w:t xml:space="preserve"> </w:t>
      </w:r>
      <w:r>
        <w:rPr>
          <w:rFonts w:ascii="宋体" w:hAnsi="宋体" w:cs="宋体"/>
          <w:kern w:val="0"/>
          <w:position w:val="-2"/>
          <w:sz w:val="24"/>
          <w:szCs w:val="24"/>
          <w:highlight w:val="none"/>
          <w:u w:val="single"/>
        </w:rPr>
        <w:tab/>
      </w:r>
      <w:r>
        <w:rPr>
          <w:rFonts w:hint="eastAsia" w:ascii="宋体" w:hAnsi="宋体" w:cs="宋体"/>
          <w:kern w:val="0"/>
          <w:position w:val="-2"/>
          <w:sz w:val="24"/>
          <w:szCs w:val="24"/>
          <w:highlight w:val="none"/>
        </w:rPr>
        <w:t>日</w:t>
      </w:r>
    </w:p>
    <w:p>
      <w:pPr>
        <w:pStyle w:val="16"/>
        <w:spacing w:line="500" w:lineRule="exact"/>
        <w:jc w:val="center"/>
        <w:rPr>
          <w:rFonts w:ascii="宋体" w:hAnsi="宋体" w:cs="宋体"/>
          <w:b w:val="0"/>
          <w:bCs/>
          <w:sz w:val="36"/>
          <w:szCs w:val="36"/>
          <w:highlight w:val="none"/>
        </w:rPr>
      </w:pPr>
    </w:p>
    <w:p>
      <w:pPr>
        <w:pStyle w:val="16"/>
        <w:spacing w:line="500" w:lineRule="exact"/>
        <w:jc w:val="center"/>
        <w:rPr>
          <w:rFonts w:ascii="宋体"/>
          <w:highlight w:val="none"/>
        </w:rPr>
      </w:pPr>
      <w:r>
        <w:rPr>
          <w:rFonts w:hint="eastAsia" w:ascii="宋体" w:hAnsi="宋体" w:cs="宋体"/>
          <w:b w:val="0"/>
          <w:bCs/>
          <w:sz w:val="36"/>
          <w:szCs w:val="36"/>
          <w:highlight w:val="none"/>
        </w:rPr>
        <w:t>法定代表人授权委托书</w:t>
      </w:r>
    </w:p>
    <w:p>
      <w:pPr>
        <w:adjustRightInd w:val="0"/>
        <w:snapToGrid w:val="0"/>
        <w:spacing w:line="440" w:lineRule="exact"/>
        <w:rPr>
          <w:rFonts w:ascii="宋体"/>
          <w:bCs/>
          <w:sz w:val="24"/>
          <w:szCs w:val="24"/>
          <w:highlight w:val="none"/>
        </w:rPr>
      </w:pPr>
      <w:r>
        <w:rPr>
          <w:rFonts w:hint="eastAsia" w:ascii="宋体" w:hAnsi="宋体"/>
          <w:bCs/>
          <w:sz w:val="24"/>
          <w:szCs w:val="24"/>
          <w:highlight w:val="none"/>
        </w:rPr>
        <w:t>致（招标人）：</w:t>
      </w:r>
    </w:p>
    <w:p>
      <w:pPr>
        <w:adjustRightInd w:val="0"/>
        <w:snapToGrid w:val="0"/>
        <w:spacing w:line="440" w:lineRule="exact"/>
        <w:ind w:firstLine="480" w:firstLineChars="200"/>
        <w:rPr>
          <w:rFonts w:ascii="宋体"/>
          <w:sz w:val="24"/>
          <w:szCs w:val="24"/>
          <w:highlight w:val="none"/>
        </w:rPr>
      </w:pPr>
      <w:r>
        <w:rPr>
          <w:rFonts w:hint="eastAsia" w:ascii="宋体" w:hAnsi="宋体"/>
          <w:sz w:val="24"/>
          <w:szCs w:val="24"/>
          <w:highlight w:val="none"/>
        </w:rPr>
        <w:t>本授权书声明：注册于</w:t>
      </w:r>
      <w:r>
        <w:rPr>
          <w:rFonts w:hint="eastAsia" w:ascii="宋体" w:hAnsi="宋体"/>
          <w:sz w:val="24"/>
          <w:szCs w:val="24"/>
          <w:highlight w:val="none"/>
          <w:u w:val="single"/>
        </w:rPr>
        <w:t>（公司所在地）</w:t>
      </w:r>
      <w:r>
        <w:rPr>
          <w:rFonts w:hint="eastAsia" w:ascii="宋体" w:hAnsi="宋体"/>
          <w:sz w:val="24"/>
          <w:szCs w:val="24"/>
          <w:highlight w:val="none"/>
        </w:rPr>
        <w:t>的</w:t>
      </w:r>
      <w:r>
        <w:rPr>
          <w:rFonts w:hint="eastAsia" w:ascii="宋体" w:hAnsi="宋体"/>
          <w:sz w:val="24"/>
          <w:szCs w:val="24"/>
          <w:highlight w:val="none"/>
          <w:u w:val="single"/>
        </w:rPr>
        <w:t>（投标人）</w:t>
      </w:r>
      <w:r>
        <w:rPr>
          <w:rFonts w:hint="eastAsia" w:ascii="宋体" w:hAnsi="宋体"/>
          <w:sz w:val="24"/>
          <w:szCs w:val="24"/>
          <w:highlight w:val="none"/>
        </w:rPr>
        <w:t>公司的（法定代表人职务、姓名）代表本公司授权（被授权委托代理人的姓名、职务）为本公司的合法代理人，参加</w:t>
      </w:r>
      <w:r>
        <w:rPr>
          <w:rFonts w:hint="eastAsia" w:ascii="宋体" w:hAnsi="宋体"/>
          <w:sz w:val="24"/>
          <w:szCs w:val="24"/>
          <w:highlight w:val="none"/>
          <w:u w:val="single"/>
        </w:rPr>
        <w:t>（项目名称及招标编号）</w:t>
      </w:r>
      <w:r>
        <w:rPr>
          <w:rFonts w:hint="eastAsia" w:ascii="宋体" w:hAnsi="宋体"/>
          <w:sz w:val="24"/>
          <w:szCs w:val="24"/>
          <w:highlight w:val="none"/>
        </w:rPr>
        <w:t>的招标活动，全权代表我单位签署投标文件，签署合同及处理一切与招标有关的事宜。</w:t>
      </w:r>
    </w:p>
    <w:p>
      <w:pPr>
        <w:adjustRightInd w:val="0"/>
        <w:snapToGrid w:val="0"/>
        <w:spacing w:line="440" w:lineRule="exact"/>
        <w:ind w:firstLine="472" w:firstLineChars="196"/>
        <w:rPr>
          <w:rFonts w:ascii="宋体"/>
          <w:b/>
          <w:sz w:val="24"/>
          <w:szCs w:val="24"/>
          <w:highlight w:val="none"/>
        </w:rPr>
      </w:pPr>
      <w:r>
        <w:rPr>
          <w:rFonts w:hint="eastAsia" w:ascii="宋体" w:hAnsi="宋体"/>
          <w:b/>
          <w:sz w:val="24"/>
          <w:szCs w:val="24"/>
          <w:highlight w:val="none"/>
        </w:rPr>
        <w:t>代理人无权转委托。后附法定代表人及委托代理人有效居民身份证复印件。</w:t>
      </w:r>
    </w:p>
    <w:p>
      <w:pPr>
        <w:adjustRightInd w:val="0"/>
        <w:snapToGrid w:val="0"/>
        <w:spacing w:line="440" w:lineRule="exact"/>
        <w:ind w:firstLine="1680" w:firstLineChars="700"/>
        <w:rPr>
          <w:rFonts w:ascii="宋体"/>
          <w:sz w:val="24"/>
          <w:szCs w:val="24"/>
          <w:highlight w:val="none"/>
          <w:u w:val="single"/>
        </w:rPr>
      </w:pPr>
      <w:r>
        <w:rPr>
          <w:rFonts w:hint="eastAsia" w:ascii="宋体" w:hAnsi="宋体"/>
          <w:sz w:val="24"/>
          <w:szCs w:val="24"/>
          <w:highlight w:val="none"/>
        </w:rPr>
        <w:t>单位盖章：</w:t>
      </w:r>
    </w:p>
    <w:p>
      <w:pPr>
        <w:adjustRightInd w:val="0"/>
        <w:snapToGrid w:val="0"/>
        <w:spacing w:line="440" w:lineRule="exact"/>
        <w:ind w:firstLine="1680" w:firstLineChars="700"/>
        <w:rPr>
          <w:rFonts w:ascii="宋体"/>
          <w:sz w:val="24"/>
          <w:szCs w:val="24"/>
          <w:highlight w:val="none"/>
          <w:u w:val="single"/>
        </w:rPr>
      </w:pPr>
      <w:r>
        <w:rPr>
          <w:rFonts w:hint="eastAsia" w:ascii="宋体" w:hAnsi="宋体"/>
          <w:sz w:val="24"/>
          <w:szCs w:val="24"/>
          <w:highlight w:val="none"/>
        </w:rPr>
        <w:t>法定代表人签字：</w:t>
      </w:r>
    </w:p>
    <w:p>
      <w:pPr>
        <w:adjustRightInd w:val="0"/>
        <w:snapToGrid w:val="0"/>
        <w:spacing w:line="440" w:lineRule="exact"/>
        <w:ind w:firstLine="1680" w:firstLineChars="700"/>
        <w:rPr>
          <w:rFonts w:ascii="宋体"/>
          <w:sz w:val="24"/>
          <w:szCs w:val="24"/>
          <w:highlight w:val="none"/>
        </w:rPr>
      </w:pPr>
      <w:r>
        <w:rPr>
          <w:rFonts w:hint="eastAsia" w:ascii="宋体" w:hAnsi="宋体"/>
          <w:sz w:val="24"/>
          <w:szCs w:val="24"/>
          <w:highlight w:val="none"/>
        </w:rPr>
        <w:t>代理人（被授权人）签字：</w:t>
      </w:r>
    </w:p>
    <w:p>
      <w:pPr>
        <w:adjustRightInd w:val="0"/>
        <w:snapToGrid w:val="0"/>
        <w:spacing w:line="440" w:lineRule="exact"/>
        <w:ind w:firstLine="1680" w:firstLineChars="700"/>
        <w:rPr>
          <w:rFonts w:ascii="宋体"/>
          <w:sz w:val="24"/>
          <w:szCs w:val="24"/>
          <w:highlight w:val="none"/>
          <w:u w:val="single"/>
        </w:rPr>
      </w:pPr>
      <w:r>
        <w:rPr>
          <w:rFonts w:hint="eastAsia" w:ascii="宋体" w:hAnsi="宋体"/>
          <w:sz w:val="24"/>
          <w:szCs w:val="24"/>
          <w:highlight w:val="none"/>
        </w:rPr>
        <w:t>被授权人职务：</w:t>
      </w:r>
      <w:r>
        <w:rPr>
          <w:rFonts w:ascii="宋体" w:hAnsi="宋体"/>
          <w:sz w:val="24"/>
          <w:szCs w:val="24"/>
          <w:highlight w:val="none"/>
        </w:rPr>
        <w:t xml:space="preserve">         </w:t>
      </w:r>
      <w:r>
        <w:rPr>
          <w:rFonts w:hint="eastAsia" w:ascii="宋体" w:hAnsi="宋体"/>
          <w:sz w:val="24"/>
          <w:szCs w:val="24"/>
          <w:highlight w:val="none"/>
        </w:rPr>
        <w:t>身份证号码：</w:t>
      </w:r>
    </w:p>
    <w:p>
      <w:pPr>
        <w:adjustRightInd w:val="0"/>
        <w:snapToGrid w:val="0"/>
        <w:spacing w:line="440" w:lineRule="exact"/>
        <w:ind w:firstLine="2880" w:firstLineChars="1200"/>
        <w:rPr>
          <w:rFonts w:ascii="宋体"/>
          <w:sz w:val="24"/>
          <w:szCs w:val="24"/>
          <w:highlight w:val="none"/>
          <w:u w:val="single"/>
        </w:rPr>
      </w:pP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pPr>
        <w:adjustRightInd w:val="0"/>
        <w:snapToGrid w:val="0"/>
        <w:spacing w:line="400" w:lineRule="exact"/>
        <w:jc w:val="center"/>
        <w:rPr>
          <w:rFonts w:ascii="宋体"/>
          <w:sz w:val="24"/>
          <w:szCs w:val="24"/>
          <w:highlight w:val="none"/>
        </w:rPr>
      </w:pPr>
    </w:p>
    <w:p>
      <w:pPr>
        <w:adjustRightInd w:val="0"/>
        <w:snapToGrid w:val="0"/>
        <w:spacing w:line="400" w:lineRule="exact"/>
        <w:jc w:val="center"/>
        <w:rPr>
          <w:rFonts w:ascii="宋体"/>
          <w:sz w:val="24"/>
          <w:szCs w:val="24"/>
          <w:highlight w:val="none"/>
        </w:rPr>
      </w:pPr>
    </w:p>
    <w:p>
      <w:pPr>
        <w:pStyle w:val="16"/>
        <w:spacing w:line="500" w:lineRule="exact"/>
        <w:ind w:firstLine="720" w:firstLineChars="200"/>
        <w:jc w:val="center"/>
        <w:rPr>
          <w:rFonts w:ascii="宋体" w:cs="宋体"/>
          <w:b w:val="0"/>
          <w:bCs/>
          <w:sz w:val="36"/>
          <w:szCs w:val="36"/>
          <w:highlight w:val="none"/>
        </w:rPr>
      </w:pPr>
    </w:p>
    <w:p>
      <w:pPr>
        <w:pStyle w:val="16"/>
        <w:spacing w:line="500" w:lineRule="exact"/>
        <w:jc w:val="center"/>
        <w:rPr>
          <w:rFonts w:ascii="宋体" w:cs="宋体"/>
          <w:b w:val="0"/>
          <w:bCs/>
          <w:sz w:val="36"/>
          <w:szCs w:val="36"/>
          <w:highlight w:val="none"/>
        </w:rPr>
      </w:pPr>
      <w:r>
        <w:rPr>
          <w:rFonts w:hint="eastAsia" w:ascii="宋体" w:hAnsi="宋体" w:cs="宋体"/>
          <w:b w:val="0"/>
          <w:bCs/>
          <w:sz w:val="36"/>
          <w:szCs w:val="36"/>
          <w:highlight w:val="none"/>
        </w:rPr>
        <w:t>四、承诺书</w:t>
      </w:r>
    </w:p>
    <w:bookmarkEnd w:id="12"/>
    <w:bookmarkEnd w:id="13"/>
    <w:p>
      <w:pPr>
        <w:pStyle w:val="16"/>
        <w:adjustRightInd w:val="0"/>
        <w:snapToGrid w:val="0"/>
        <w:spacing w:line="500" w:lineRule="exact"/>
        <w:rPr>
          <w:rFonts w:ascii="宋体"/>
          <w:b w:val="0"/>
          <w:sz w:val="21"/>
          <w:highlight w:val="none"/>
        </w:rPr>
      </w:pPr>
    </w:p>
    <w:p>
      <w:pPr>
        <w:pStyle w:val="16"/>
        <w:adjustRightInd w:val="0"/>
        <w:snapToGrid w:val="0"/>
        <w:spacing w:line="500" w:lineRule="exact"/>
        <w:rPr>
          <w:rFonts w:ascii="宋体" w:cs="宋体"/>
          <w:b w:val="0"/>
          <w:sz w:val="24"/>
          <w:szCs w:val="24"/>
          <w:highlight w:val="none"/>
        </w:rPr>
      </w:pPr>
      <w:r>
        <w:rPr>
          <w:rFonts w:hint="eastAsia" w:ascii="宋体" w:hAnsi="宋体" w:cs="宋体"/>
          <w:b w:val="0"/>
          <w:sz w:val="24"/>
          <w:szCs w:val="24"/>
          <w:highlight w:val="none"/>
        </w:rPr>
        <w:t>致安徽兴叶工程咨询有限公司：</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经我单位认真研究《安徽兴叶工程咨询有限公司咨询服务合作供应商征集项目招标文件》（以下简称《招标文件》）后，我单位承诺同意按《招标文件》中的要求，申请成为安徽兴叶工程咨询有限公司咨询服务</w:t>
      </w:r>
      <w:r>
        <w:rPr>
          <w:rFonts w:hint="eastAsia" w:ascii="宋体" w:hAnsi="宋体" w:cs="宋体"/>
          <w:sz w:val="24"/>
          <w:szCs w:val="24"/>
          <w:highlight w:val="none"/>
          <w:lang w:val="en-US" w:eastAsia="zh-CN"/>
        </w:rPr>
        <w:t>合作</w:t>
      </w:r>
      <w:r>
        <w:rPr>
          <w:rFonts w:hint="eastAsia" w:ascii="宋体" w:hAnsi="宋体" w:cs="宋体"/>
          <w:sz w:val="24"/>
          <w:szCs w:val="24"/>
          <w:highlight w:val="none"/>
        </w:rPr>
        <w:t>供应商。</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我单位郑重承诺和保证如下：</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一、如果我单位成为安徽兴叶工程咨询有限公司咨询服务合作供应商，将保证按国家的有关规定履行职责。接受安徽兴叶工程咨询有限公司及有关行政监管部门的管理，遵守相关的法律、法规，不挂靠、不转包、不分包相关业务。</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二、我单位保证按照本项目招标文件的条款履行职责。如有违反，我单位自愿接受安徽兴叶工程咨询有限公司给予取消咨询服务合作供应商资格的处理。</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三、如果无故放弃承揽资格，我单位愿意无条件放弃安徽兴叶工程咨询有限公司咨询服务合作供应商资格，并被没收履约保证金。</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四、若我单位成为安徽兴叶工程咨询有限公司咨询服务合作供应商，将根据承揽项目的专业、规模配备合理的项目管理班子。</w:t>
      </w:r>
    </w:p>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五、我单位承诺一旦中标后，未经招标人同意，不擅自更换投标文件中承诺的拟派人员。</w:t>
      </w:r>
    </w:p>
    <w:p>
      <w:pPr>
        <w:pStyle w:val="24"/>
        <w:ind w:firstLine="240"/>
        <w:rPr>
          <w:sz w:val="24"/>
          <w:szCs w:val="24"/>
          <w:highlight w:val="none"/>
        </w:rPr>
      </w:pP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承诺单位：</w:t>
      </w:r>
      <w:r>
        <w:rPr>
          <w:rFonts w:ascii="宋体" w:hAnsi="宋体" w:cs="宋体"/>
          <w:sz w:val="24"/>
          <w:szCs w:val="24"/>
          <w:highlight w:val="none"/>
          <w:u w:val="single"/>
        </w:rPr>
        <w:t xml:space="preserve">           (</w:t>
      </w:r>
      <w:r>
        <w:rPr>
          <w:rFonts w:hint="eastAsia" w:ascii="宋体" w:hAnsi="宋体" w:cs="宋体"/>
          <w:sz w:val="24"/>
          <w:szCs w:val="24"/>
          <w:highlight w:val="none"/>
          <w:u w:val="single"/>
        </w:rPr>
        <w:t>单位公章</w:t>
      </w:r>
      <w:r>
        <w:rPr>
          <w:rFonts w:ascii="宋体" w:hAnsi="宋体" w:cs="宋体"/>
          <w:sz w:val="24"/>
          <w:szCs w:val="24"/>
          <w:highlight w:val="none"/>
          <w:u w:val="single"/>
        </w:rPr>
        <w:t xml:space="preserve">)        </w:t>
      </w:r>
    </w:p>
    <w:p>
      <w:pPr>
        <w:adjustRightInd w:val="0"/>
        <w:snapToGrid w:val="0"/>
        <w:spacing w:line="500" w:lineRule="exact"/>
        <w:ind w:firstLine="645"/>
        <w:jc w:val="center"/>
        <w:rPr>
          <w:rFonts w:ascii="宋体" w:cs="宋体"/>
          <w:sz w:val="24"/>
          <w:szCs w:val="24"/>
          <w:highlight w:val="none"/>
        </w:rPr>
      </w:pPr>
    </w:p>
    <w:p>
      <w:pPr>
        <w:adjustRightInd w:val="0"/>
        <w:snapToGrid w:val="0"/>
        <w:spacing w:line="500" w:lineRule="exact"/>
        <w:ind w:firstLine="645"/>
        <w:rPr>
          <w:rFonts w:ascii="宋体" w:hAnsi="宋体"/>
          <w:sz w:val="24"/>
          <w:szCs w:val="24"/>
          <w:highlight w:val="none"/>
          <w:u w:val="single"/>
        </w:rPr>
      </w:pPr>
      <w:r>
        <w:rPr>
          <w:rFonts w:hint="eastAsia" w:ascii="宋体" w:hAnsi="宋体" w:cs="宋体"/>
          <w:sz w:val="24"/>
          <w:szCs w:val="24"/>
          <w:highlight w:val="none"/>
        </w:rPr>
        <w:t>法定代表人或其委托代理人</w:t>
      </w:r>
      <w:r>
        <w:rPr>
          <w:rFonts w:hint="eastAsia" w:ascii="宋体" w:hAnsi="宋体"/>
          <w:sz w:val="24"/>
          <w:szCs w:val="24"/>
          <w:highlight w:val="none"/>
        </w:rPr>
        <w:t>：</w:t>
      </w:r>
      <w:r>
        <w:rPr>
          <w:rFonts w:hint="eastAsia" w:ascii="宋体" w:hAnsi="宋体"/>
          <w:sz w:val="24"/>
          <w:szCs w:val="24"/>
          <w:highlight w:val="none"/>
          <w:u w:val="single"/>
        </w:rPr>
        <w:t>（签字）</w:t>
      </w:r>
    </w:p>
    <w:p>
      <w:pPr>
        <w:adjustRightInd w:val="0"/>
        <w:snapToGrid w:val="0"/>
        <w:spacing w:line="500" w:lineRule="exact"/>
        <w:ind w:firstLine="645"/>
        <w:rPr>
          <w:rFonts w:ascii="宋体" w:cs="宋体"/>
          <w:sz w:val="24"/>
          <w:szCs w:val="24"/>
          <w:highlight w:val="none"/>
        </w:rPr>
      </w:pPr>
      <w:r>
        <w:rPr>
          <w:rFonts w:hint="eastAsia" w:ascii="宋体" w:hAnsi="宋体" w:cs="宋体"/>
          <w:sz w:val="24"/>
          <w:szCs w:val="24"/>
          <w:highlight w:val="none"/>
        </w:rPr>
        <w:t>单位联系人姓名及电话：</w:t>
      </w:r>
    </w:p>
    <w:p>
      <w:pPr>
        <w:wordWrap w:val="0"/>
        <w:adjustRightInd w:val="0"/>
        <w:snapToGrid w:val="0"/>
        <w:spacing w:line="500" w:lineRule="exact"/>
        <w:ind w:firstLine="645"/>
        <w:jc w:val="right"/>
        <w:rPr>
          <w:rFonts w:ascii="宋体" w:cs="宋体"/>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500" w:lineRule="exact"/>
        <w:jc w:val="center"/>
        <w:rPr>
          <w:rFonts w:ascii="宋体" w:cs="宋体"/>
          <w:bCs/>
          <w:sz w:val="36"/>
          <w:szCs w:val="36"/>
          <w:highlight w:val="none"/>
        </w:rPr>
      </w:pPr>
      <w:bookmarkStart w:id="14" w:name="_Toc420584410"/>
      <w:r>
        <w:rPr>
          <w:rFonts w:ascii="宋体" w:cs="宋体"/>
          <w:b/>
          <w:bCs/>
          <w:sz w:val="28"/>
          <w:szCs w:val="28"/>
          <w:highlight w:val="none"/>
        </w:rPr>
        <w:br w:type="page"/>
      </w:r>
      <w:r>
        <w:rPr>
          <w:rFonts w:hint="eastAsia" w:ascii="宋体" w:hAnsi="宋体" w:cs="宋体"/>
          <w:bCs/>
          <w:sz w:val="36"/>
          <w:szCs w:val="36"/>
          <w:highlight w:val="none"/>
        </w:rPr>
        <w:t>五、投标人声明</w:t>
      </w:r>
      <w:bookmarkEnd w:id="14"/>
    </w:p>
    <w:p>
      <w:pPr>
        <w:adjustRightInd w:val="0"/>
        <w:snapToGrid w:val="0"/>
        <w:spacing w:line="500" w:lineRule="exact"/>
        <w:ind w:firstLine="645"/>
        <w:rPr>
          <w:rFonts w:ascii="宋体" w:cs="宋体"/>
          <w:highlight w:val="none"/>
        </w:rPr>
      </w:pPr>
    </w:p>
    <w:p>
      <w:pPr>
        <w:adjustRightInd w:val="0"/>
        <w:snapToGrid w:val="0"/>
        <w:spacing w:line="500" w:lineRule="exact"/>
        <w:rPr>
          <w:rFonts w:ascii="宋体" w:cs="宋体"/>
          <w:sz w:val="24"/>
          <w:szCs w:val="24"/>
          <w:highlight w:val="none"/>
        </w:rPr>
      </w:pPr>
      <w:r>
        <w:rPr>
          <w:rFonts w:hint="eastAsia" w:ascii="宋体" w:hAnsi="宋体"/>
          <w:sz w:val="24"/>
          <w:szCs w:val="24"/>
          <w:highlight w:val="none"/>
        </w:rPr>
        <w:t>致安徽兴叶工程咨询有限公司：</w:t>
      </w:r>
    </w:p>
    <w:p>
      <w:pPr>
        <w:autoSpaceDE w:val="0"/>
        <w:autoSpaceDN w:val="0"/>
        <w:adjustRightInd w:val="0"/>
        <w:spacing w:line="500" w:lineRule="exact"/>
        <w:ind w:right="-23" w:firstLine="480" w:firstLineChars="200"/>
        <w:rPr>
          <w:rFonts w:ascii="宋体" w:cs="宋体"/>
          <w:sz w:val="24"/>
          <w:szCs w:val="24"/>
          <w:highlight w:val="none"/>
        </w:rPr>
      </w:pPr>
      <w:r>
        <w:rPr>
          <w:rFonts w:hint="eastAsia" w:ascii="宋体" w:hAnsi="宋体" w:cs="宋体"/>
          <w:sz w:val="24"/>
          <w:szCs w:val="24"/>
          <w:highlight w:val="none"/>
        </w:rPr>
        <w:t>本单位就参加安徽兴叶工程咨询有限公司咨询服务合作供应商征集项目的工作，作出郑重声明：</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一、本单位保证投标文件及其后提供的一切材料都是真实的。</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二、本单位保证在投标中不与其他单位围标、串标，不出让投标资格，不向招标人或评标委员会成员行贿。</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三、本单位没有处于被责令停业的状态；没有处于被建设行政主管部门取消投标资格的处罚期内；没有处于财产被接管、冻结、破产的状态；本单位没有在投标报名截止时间前三年内被司法机关犯有行贿罪的记录。</w:t>
      </w:r>
    </w:p>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四、本单位严格遵守招标人关于安徽兴叶工程咨询有限公司咨询服务</w:t>
      </w:r>
      <w:r>
        <w:rPr>
          <w:rFonts w:hint="eastAsia" w:ascii="宋体" w:hAnsi="宋体" w:cs="宋体"/>
          <w:sz w:val="24"/>
          <w:szCs w:val="24"/>
          <w:highlight w:val="none"/>
          <w:lang w:val="en-US" w:eastAsia="zh-CN"/>
        </w:rPr>
        <w:t>合作</w:t>
      </w:r>
      <w:r>
        <w:rPr>
          <w:rFonts w:hint="eastAsia" w:ascii="宋体" w:hAnsi="宋体" w:cs="宋体"/>
          <w:sz w:val="24"/>
          <w:szCs w:val="24"/>
          <w:highlight w:val="none"/>
        </w:rPr>
        <w:t>供应商管理及业务承接办法。如违反规定，将自愿接受：暂停或取消安徽兴叶工程咨询有限公司咨询服务合作供应商资格的处罚。</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本单位违反上述保证，或本声明陈述与事实不符，经查实，本单位愿意接受公开通报，承担由此带来的法律后果。</w:t>
      </w: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特此声明。</w:t>
      </w:r>
    </w:p>
    <w:p>
      <w:pPr>
        <w:adjustRightInd w:val="0"/>
        <w:snapToGrid w:val="0"/>
        <w:spacing w:line="500" w:lineRule="exact"/>
        <w:ind w:firstLine="480" w:firstLineChars="200"/>
        <w:rPr>
          <w:rFonts w:ascii="宋体" w:cs="宋体"/>
          <w:sz w:val="24"/>
          <w:szCs w:val="24"/>
          <w:highlight w:val="none"/>
        </w:rPr>
      </w:pPr>
    </w:p>
    <w:p>
      <w:pPr>
        <w:adjustRightInd w:val="0"/>
        <w:snapToGrid w:val="0"/>
        <w:spacing w:line="500" w:lineRule="exact"/>
        <w:ind w:firstLine="480" w:firstLineChars="200"/>
        <w:rPr>
          <w:rFonts w:ascii="宋体" w:cs="宋体"/>
          <w:sz w:val="24"/>
          <w:szCs w:val="24"/>
          <w:highlight w:val="none"/>
        </w:rPr>
      </w:pPr>
      <w:r>
        <w:rPr>
          <w:rFonts w:hint="eastAsia" w:ascii="宋体" w:hAnsi="宋体" w:cs="宋体"/>
          <w:sz w:val="24"/>
          <w:szCs w:val="24"/>
          <w:highlight w:val="none"/>
        </w:rPr>
        <w:t>声明单位：</w:t>
      </w:r>
      <w:r>
        <w:rPr>
          <w:rFonts w:ascii="宋体" w:hAnsi="宋体" w:cs="宋体"/>
          <w:sz w:val="24"/>
          <w:szCs w:val="24"/>
          <w:highlight w:val="none"/>
          <w:u w:val="single"/>
        </w:rPr>
        <w:t xml:space="preserve">           (</w:t>
      </w:r>
      <w:r>
        <w:rPr>
          <w:rFonts w:hint="eastAsia" w:ascii="宋体" w:hAnsi="宋体" w:cs="宋体"/>
          <w:sz w:val="24"/>
          <w:szCs w:val="24"/>
          <w:highlight w:val="none"/>
          <w:u w:val="single"/>
        </w:rPr>
        <w:t>单位公章</w:t>
      </w:r>
      <w:r>
        <w:rPr>
          <w:rFonts w:ascii="宋体" w:hAnsi="宋体" w:cs="宋体"/>
          <w:sz w:val="24"/>
          <w:szCs w:val="24"/>
          <w:highlight w:val="none"/>
          <w:u w:val="single"/>
        </w:rPr>
        <w:t xml:space="preserve">)        </w:t>
      </w:r>
    </w:p>
    <w:p>
      <w:pPr>
        <w:adjustRightInd w:val="0"/>
        <w:snapToGrid w:val="0"/>
        <w:spacing w:line="500" w:lineRule="exact"/>
        <w:ind w:firstLine="645"/>
        <w:jc w:val="center"/>
        <w:rPr>
          <w:rFonts w:ascii="宋体" w:cs="宋体"/>
          <w:sz w:val="24"/>
          <w:szCs w:val="24"/>
          <w:highlight w:val="none"/>
        </w:rPr>
      </w:pPr>
    </w:p>
    <w:p>
      <w:pPr>
        <w:adjustRightInd w:val="0"/>
        <w:snapToGrid w:val="0"/>
        <w:spacing w:line="500" w:lineRule="exact"/>
        <w:ind w:firstLine="480" w:firstLineChars="200"/>
        <w:rPr>
          <w:rFonts w:ascii="宋体" w:cs="宋体"/>
          <w:sz w:val="24"/>
          <w:szCs w:val="24"/>
          <w:highlight w:val="none"/>
          <w:u w:val="single"/>
        </w:rPr>
      </w:pPr>
      <w:r>
        <w:rPr>
          <w:rFonts w:hint="eastAsia" w:ascii="宋体" w:hAnsi="宋体" w:cs="宋体"/>
          <w:sz w:val="24"/>
          <w:szCs w:val="24"/>
          <w:highlight w:val="none"/>
        </w:rPr>
        <w:t>法定代表人或其委托代理人</w:t>
      </w:r>
      <w:r>
        <w:rPr>
          <w:rFonts w:hint="eastAsia" w:ascii="宋体" w:hAnsi="宋体"/>
          <w:sz w:val="24"/>
          <w:szCs w:val="24"/>
          <w:highlight w:val="none"/>
        </w:rPr>
        <w:t>：</w:t>
      </w:r>
      <w:r>
        <w:rPr>
          <w:rFonts w:hint="eastAsia" w:ascii="宋体" w:hAnsi="宋体"/>
          <w:sz w:val="24"/>
          <w:szCs w:val="24"/>
          <w:highlight w:val="none"/>
          <w:u w:val="single"/>
        </w:rPr>
        <w:t>（签字）</w:t>
      </w:r>
    </w:p>
    <w:p>
      <w:pPr>
        <w:adjustRightInd w:val="0"/>
        <w:snapToGrid w:val="0"/>
        <w:spacing w:line="500" w:lineRule="exact"/>
        <w:ind w:firstLine="645"/>
        <w:jc w:val="right"/>
        <w:rPr>
          <w:rFonts w:ascii="宋体" w:cs="宋体"/>
          <w:sz w:val="24"/>
          <w:szCs w:val="24"/>
          <w:highlight w:val="none"/>
        </w:rPr>
      </w:pPr>
    </w:p>
    <w:p>
      <w:pPr>
        <w:adjustRightInd w:val="0"/>
        <w:snapToGrid w:val="0"/>
        <w:spacing w:line="500" w:lineRule="exact"/>
        <w:ind w:firstLine="645"/>
        <w:jc w:val="right"/>
        <w:rPr>
          <w:rFonts w:ascii="宋体" w:cs="宋体"/>
          <w:sz w:val="24"/>
          <w:szCs w:val="24"/>
          <w:highlight w:val="none"/>
        </w:rPr>
      </w:pPr>
    </w:p>
    <w:p>
      <w:pPr>
        <w:wordWrap w:val="0"/>
        <w:adjustRightInd w:val="0"/>
        <w:snapToGrid w:val="0"/>
        <w:spacing w:line="500" w:lineRule="exact"/>
        <w:ind w:firstLine="645"/>
        <w:jc w:val="right"/>
        <w:rPr>
          <w:rFonts w:ascii="宋体" w:cs="宋体"/>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r>
        <w:rPr>
          <w:rFonts w:ascii="宋体" w:cs="宋体"/>
          <w:sz w:val="24"/>
          <w:szCs w:val="24"/>
          <w:highlight w:val="none"/>
        </w:rPr>
        <w:tab/>
      </w:r>
    </w:p>
    <w:p>
      <w:pPr>
        <w:rPr>
          <w:rFonts w:ascii="宋体" w:cs="宋体"/>
          <w:bCs/>
          <w:sz w:val="36"/>
          <w:szCs w:val="36"/>
          <w:highlight w:val="none"/>
        </w:rPr>
      </w:pPr>
    </w:p>
    <w:p>
      <w:pPr>
        <w:pStyle w:val="24"/>
        <w:ind w:firstLine="200"/>
        <w:rPr>
          <w:highlight w:val="none"/>
        </w:rPr>
      </w:pPr>
    </w:p>
    <w:p>
      <w:pPr>
        <w:pStyle w:val="24"/>
        <w:ind w:firstLine="200"/>
        <w:rPr>
          <w:highlight w:val="none"/>
        </w:rPr>
      </w:pPr>
    </w:p>
    <w:p>
      <w:pPr>
        <w:jc w:val="center"/>
        <w:rPr>
          <w:rFonts w:ascii="Times New Roman" w:hAnsi="Times New Roman"/>
          <w:kern w:val="0"/>
          <w:sz w:val="20"/>
          <w:highlight w:val="none"/>
        </w:rPr>
      </w:pPr>
    </w:p>
    <w:p>
      <w:pPr>
        <w:pStyle w:val="24"/>
        <w:ind w:firstLine="0" w:firstLineChars="0"/>
        <w:rPr>
          <w:highlight w:val="none"/>
        </w:rPr>
      </w:pPr>
      <w:r>
        <w:rPr>
          <w:rFonts w:hint="eastAsia"/>
          <w:highlight w:val="none"/>
        </w:rPr>
        <w:t>附件：</w:t>
      </w:r>
    </w:p>
    <w:p>
      <w:pPr>
        <w:jc w:val="center"/>
        <w:rPr>
          <w:rFonts w:ascii="黑体" w:hAnsi="黑体" w:eastAsia="黑体"/>
          <w:sz w:val="28"/>
          <w:szCs w:val="28"/>
          <w:highlight w:val="none"/>
        </w:rPr>
      </w:pPr>
      <w:r>
        <w:rPr>
          <w:rFonts w:hint="eastAsia" w:ascii="黑体" w:hAnsi="黑体" w:eastAsia="黑体"/>
          <w:sz w:val="28"/>
          <w:szCs w:val="28"/>
          <w:highlight w:val="none"/>
        </w:rPr>
        <w:t>六安市叶集区公共资源交易入选备案招标代理机构</w:t>
      </w:r>
    </w:p>
    <w:p>
      <w:pPr>
        <w:jc w:val="center"/>
        <w:rPr>
          <w:rFonts w:ascii="黑体" w:hAnsi="黑体" w:eastAsia="黑体"/>
          <w:sz w:val="28"/>
          <w:szCs w:val="28"/>
          <w:highlight w:val="none"/>
        </w:rPr>
      </w:pPr>
      <w:r>
        <w:rPr>
          <w:rFonts w:hint="eastAsia" w:ascii="黑体" w:hAnsi="黑体" w:eastAsia="黑体"/>
          <w:sz w:val="28"/>
          <w:szCs w:val="28"/>
          <w:highlight w:val="none"/>
        </w:rPr>
        <w:t>日常考评标准</w:t>
      </w:r>
    </w:p>
    <w:p>
      <w:pPr>
        <w:ind w:firstLine="480" w:firstLineChars="200"/>
        <w:rPr>
          <w:sz w:val="24"/>
          <w:szCs w:val="24"/>
          <w:highlight w:val="none"/>
        </w:rPr>
      </w:pPr>
    </w:p>
    <w:p>
      <w:pPr>
        <w:ind w:firstLine="480" w:firstLineChars="200"/>
        <w:rPr>
          <w:rFonts w:eastAsia="黑体"/>
          <w:sz w:val="24"/>
          <w:szCs w:val="24"/>
          <w:highlight w:val="none"/>
        </w:rPr>
      </w:pPr>
      <w:r>
        <w:rPr>
          <w:rFonts w:hint="eastAsia" w:eastAsia="黑体"/>
          <w:sz w:val="24"/>
          <w:szCs w:val="24"/>
          <w:highlight w:val="none"/>
        </w:rPr>
        <w:t>一、代理有标准范本的建设工程招标项目日常考评扣分标准</w:t>
      </w:r>
    </w:p>
    <w:p>
      <w:pPr>
        <w:ind w:firstLine="480" w:firstLineChars="200"/>
        <w:rPr>
          <w:sz w:val="24"/>
          <w:szCs w:val="24"/>
          <w:highlight w:val="none"/>
        </w:rPr>
      </w:pPr>
      <w:r>
        <w:rPr>
          <w:sz w:val="24"/>
          <w:szCs w:val="24"/>
          <w:highlight w:val="none"/>
        </w:rPr>
        <w:t>1</w:t>
      </w:r>
      <w:r>
        <w:rPr>
          <w:rFonts w:hint="eastAsia"/>
          <w:sz w:val="24"/>
          <w:szCs w:val="24"/>
          <w:highlight w:val="none"/>
        </w:rPr>
        <w:t>．按《六安市公共资源交易活动招标代理机构代理行为日常考评扣分标准》扣分的，按扣分分值的二分之一计入叶集区入选备案招标代理机构日常考评扣分分值，但下列行为按《六安市公共资源交易活动招标代理机构代理行为日常考评扣分标准》全额计入叶集区入选备案招标代理机构日常考评扣分分值。</w:t>
      </w:r>
    </w:p>
    <w:p>
      <w:pPr>
        <w:ind w:firstLine="480" w:firstLineChars="200"/>
        <w:rPr>
          <w:sz w:val="24"/>
          <w:szCs w:val="24"/>
          <w:highlight w:val="none"/>
        </w:rPr>
      </w:pPr>
      <w:r>
        <w:rPr>
          <w:rFonts w:hint="eastAsia"/>
          <w:sz w:val="24"/>
          <w:szCs w:val="24"/>
          <w:highlight w:val="none"/>
        </w:rPr>
        <w:t>（</w:t>
      </w:r>
      <w:r>
        <w:rPr>
          <w:sz w:val="24"/>
          <w:szCs w:val="24"/>
          <w:highlight w:val="none"/>
        </w:rPr>
        <w:t>1</w:t>
      </w:r>
      <w:r>
        <w:rPr>
          <w:rFonts w:hint="eastAsia"/>
          <w:sz w:val="24"/>
          <w:szCs w:val="24"/>
          <w:highlight w:val="none"/>
        </w:rPr>
        <w:t>）迟到早退，擅自离岗，致使不能按照招标文件约定的时间开标，开标不能正常进行的，按情节严重计算扣分分值。</w:t>
      </w:r>
    </w:p>
    <w:p>
      <w:pPr>
        <w:ind w:firstLine="480" w:firstLineChars="200"/>
        <w:rPr>
          <w:sz w:val="24"/>
          <w:szCs w:val="24"/>
          <w:highlight w:val="none"/>
        </w:rPr>
      </w:pPr>
      <w:r>
        <w:rPr>
          <w:rFonts w:hint="eastAsia"/>
          <w:sz w:val="24"/>
          <w:szCs w:val="24"/>
          <w:highlight w:val="none"/>
        </w:rPr>
        <w:t>（</w:t>
      </w:r>
      <w:r>
        <w:rPr>
          <w:sz w:val="24"/>
          <w:szCs w:val="24"/>
          <w:highlight w:val="none"/>
        </w:rPr>
        <w:t>2</w:t>
      </w:r>
      <w:r>
        <w:rPr>
          <w:rFonts w:hint="eastAsia"/>
          <w:sz w:val="24"/>
          <w:szCs w:val="24"/>
          <w:highlight w:val="none"/>
        </w:rPr>
        <w:t>）与所代理招标工程投标人有隶属关系、合作经营关系以及其他利益关系的，明知委托事项违法而进行代理的，按情节严重计算扣分分值。</w:t>
      </w:r>
    </w:p>
    <w:p>
      <w:pPr>
        <w:ind w:firstLine="480" w:firstLineChars="200"/>
        <w:rPr>
          <w:sz w:val="24"/>
          <w:szCs w:val="24"/>
          <w:highlight w:val="none"/>
        </w:rPr>
      </w:pPr>
      <w:r>
        <w:rPr>
          <w:rFonts w:hint="eastAsia"/>
          <w:sz w:val="24"/>
          <w:szCs w:val="24"/>
          <w:highlight w:val="none"/>
        </w:rPr>
        <w:t>（</w:t>
      </w:r>
      <w:r>
        <w:rPr>
          <w:sz w:val="24"/>
          <w:szCs w:val="24"/>
          <w:highlight w:val="none"/>
        </w:rPr>
        <w:t>3</w:t>
      </w:r>
      <w:r>
        <w:rPr>
          <w:rFonts w:hint="eastAsia"/>
          <w:sz w:val="24"/>
          <w:szCs w:val="24"/>
          <w:highlight w:val="none"/>
        </w:rPr>
        <w:t>）在所代理的招标项目中投标或代理投标的，为所代理的招标项目的投标人提供咨询的。</w:t>
      </w:r>
    </w:p>
    <w:p>
      <w:pPr>
        <w:ind w:firstLine="480" w:firstLineChars="200"/>
        <w:rPr>
          <w:sz w:val="24"/>
          <w:szCs w:val="24"/>
          <w:highlight w:val="none"/>
        </w:rPr>
      </w:pPr>
      <w:r>
        <w:rPr>
          <w:rFonts w:hint="eastAsia"/>
          <w:sz w:val="24"/>
          <w:szCs w:val="24"/>
          <w:highlight w:val="none"/>
        </w:rPr>
        <w:t>（</w:t>
      </w:r>
      <w:r>
        <w:rPr>
          <w:sz w:val="24"/>
          <w:szCs w:val="24"/>
          <w:highlight w:val="none"/>
        </w:rPr>
        <w:t>4</w:t>
      </w:r>
      <w:r>
        <w:rPr>
          <w:rFonts w:hint="eastAsia"/>
          <w:sz w:val="24"/>
          <w:szCs w:val="24"/>
          <w:highlight w:val="none"/>
        </w:rPr>
        <w:t>）故意提供虚假备案资料、材料的，按情节严重计算扣分分值。</w:t>
      </w:r>
    </w:p>
    <w:p>
      <w:pPr>
        <w:ind w:firstLine="480" w:firstLineChars="200"/>
        <w:rPr>
          <w:sz w:val="24"/>
          <w:szCs w:val="24"/>
          <w:highlight w:val="none"/>
        </w:rPr>
      </w:pPr>
      <w:r>
        <w:rPr>
          <w:rFonts w:hint="eastAsia"/>
          <w:sz w:val="24"/>
          <w:szCs w:val="24"/>
          <w:highlight w:val="none"/>
        </w:rPr>
        <w:t>（</w:t>
      </w:r>
      <w:r>
        <w:rPr>
          <w:sz w:val="24"/>
          <w:szCs w:val="24"/>
          <w:highlight w:val="none"/>
        </w:rPr>
        <w:t>5</w:t>
      </w:r>
      <w:r>
        <w:rPr>
          <w:rFonts w:hint="eastAsia"/>
          <w:sz w:val="24"/>
          <w:szCs w:val="24"/>
          <w:highlight w:val="none"/>
        </w:rPr>
        <w:t>）篡改招标文件备案结果的，按情节严重计算扣分分值。</w:t>
      </w:r>
    </w:p>
    <w:p>
      <w:pPr>
        <w:ind w:firstLine="480" w:firstLineChars="200"/>
        <w:rPr>
          <w:sz w:val="24"/>
          <w:szCs w:val="24"/>
          <w:highlight w:val="none"/>
        </w:rPr>
      </w:pPr>
      <w:r>
        <w:rPr>
          <w:rFonts w:hint="eastAsia"/>
          <w:sz w:val="24"/>
          <w:szCs w:val="24"/>
          <w:highlight w:val="none"/>
        </w:rPr>
        <w:t>（</w:t>
      </w:r>
      <w:r>
        <w:rPr>
          <w:sz w:val="24"/>
          <w:szCs w:val="24"/>
          <w:highlight w:val="none"/>
        </w:rPr>
        <w:t>6</w:t>
      </w:r>
      <w:r>
        <w:rPr>
          <w:rFonts w:hint="eastAsia"/>
          <w:sz w:val="24"/>
          <w:szCs w:val="24"/>
          <w:highlight w:val="none"/>
        </w:rPr>
        <w:t>）以不合理的条件限制、排斥潜在投标人或限制投标人之间竞争的。</w:t>
      </w:r>
    </w:p>
    <w:p>
      <w:pPr>
        <w:ind w:firstLine="480" w:firstLineChars="200"/>
        <w:rPr>
          <w:sz w:val="24"/>
          <w:szCs w:val="24"/>
          <w:highlight w:val="none"/>
        </w:rPr>
      </w:pPr>
      <w:r>
        <w:rPr>
          <w:rFonts w:hint="eastAsia"/>
          <w:sz w:val="24"/>
          <w:szCs w:val="24"/>
          <w:highlight w:val="none"/>
        </w:rPr>
        <w:t>（</w:t>
      </w:r>
      <w:r>
        <w:rPr>
          <w:sz w:val="24"/>
          <w:szCs w:val="24"/>
          <w:highlight w:val="none"/>
        </w:rPr>
        <w:t>7</w:t>
      </w:r>
      <w:r>
        <w:rPr>
          <w:rFonts w:hint="eastAsia"/>
          <w:sz w:val="24"/>
          <w:szCs w:val="24"/>
          <w:highlight w:val="none"/>
        </w:rPr>
        <w:t>）招标代理机构的现场工作人员参与评标的，按情节严重计算扣分分值。</w:t>
      </w:r>
    </w:p>
    <w:p>
      <w:pPr>
        <w:ind w:firstLine="480" w:firstLineChars="200"/>
        <w:rPr>
          <w:sz w:val="24"/>
          <w:szCs w:val="24"/>
          <w:highlight w:val="none"/>
        </w:rPr>
      </w:pPr>
      <w:r>
        <w:rPr>
          <w:rFonts w:hint="eastAsia"/>
          <w:sz w:val="24"/>
          <w:szCs w:val="24"/>
          <w:highlight w:val="none"/>
        </w:rPr>
        <w:t>（</w:t>
      </w:r>
      <w:r>
        <w:rPr>
          <w:sz w:val="24"/>
          <w:szCs w:val="24"/>
          <w:highlight w:val="none"/>
        </w:rPr>
        <w:t>8</w:t>
      </w:r>
      <w:r>
        <w:rPr>
          <w:rFonts w:hint="eastAsia"/>
          <w:sz w:val="24"/>
          <w:szCs w:val="24"/>
          <w:highlight w:val="none"/>
        </w:rPr>
        <w:t>）接收在投标时间之后送达的投标文件的，按情节严重计算扣分分值。</w:t>
      </w:r>
    </w:p>
    <w:p>
      <w:pPr>
        <w:ind w:firstLine="480" w:firstLineChars="200"/>
        <w:rPr>
          <w:sz w:val="24"/>
          <w:szCs w:val="24"/>
          <w:highlight w:val="none"/>
        </w:rPr>
      </w:pPr>
      <w:r>
        <w:rPr>
          <w:rFonts w:hint="eastAsia"/>
          <w:sz w:val="24"/>
          <w:szCs w:val="24"/>
          <w:highlight w:val="none"/>
        </w:rPr>
        <w:t>（</w:t>
      </w:r>
      <w:r>
        <w:rPr>
          <w:sz w:val="24"/>
          <w:szCs w:val="24"/>
          <w:highlight w:val="none"/>
        </w:rPr>
        <w:t>9</w:t>
      </w:r>
      <w:r>
        <w:rPr>
          <w:rFonts w:hint="eastAsia"/>
          <w:sz w:val="24"/>
          <w:szCs w:val="24"/>
          <w:highlight w:val="none"/>
        </w:rPr>
        <w:t>）暗示或者诱导投标人作出澄清、说明或接受投标人主动提出的澄清、说明的，按情节严重计算扣分分值。</w:t>
      </w:r>
    </w:p>
    <w:p>
      <w:pPr>
        <w:ind w:firstLine="480" w:firstLineChars="200"/>
        <w:rPr>
          <w:sz w:val="24"/>
          <w:szCs w:val="24"/>
          <w:highlight w:val="none"/>
        </w:rPr>
      </w:pPr>
      <w:r>
        <w:rPr>
          <w:sz w:val="24"/>
          <w:szCs w:val="24"/>
          <w:highlight w:val="none"/>
        </w:rPr>
        <w:t>2</w:t>
      </w:r>
      <w:r>
        <w:rPr>
          <w:rFonts w:hint="eastAsia"/>
          <w:sz w:val="24"/>
          <w:szCs w:val="24"/>
          <w:highlight w:val="none"/>
        </w:rPr>
        <w:t>．因代理机构人为错误，造成其编制的工程量清单和预算价经审计局审核审增审减绝对值之和误差率在</w:t>
      </w:r>
      <w:r>
        <w:rPr>
          <w:sz w:val="24"/>
          <w:szCs w:val="24"/>
          <w:highlight w:val="none"/>
        </w:rPr>
        <w:t>3%-5%(</w:t>
      </w:r>
      <w:r>
        <w:rPr>
          <w:rFonts w:hint="eastAsia"/>
          <w:sz w:val="24"/>
          <w:szCs w:val="24"/>
          <w:highlight w:val="none"/>
        </w:rPr>
        <w:t>含</w:t>
      </w:r>
      <w:r>
        <w:rPr>
          <w:sz w:val="24"/>
          <w:szCs w:val="24"/>
          <w:highlight w:val="none"/>
        </w:rPr>
        <w:t>)</w:t>
      </w:r>
      <w:r>
        <w:rPr>
          <w:rFonts w:hint="eastAsia"/>
          <w:sz w:val="24"/>
          <w:szCs w:val="24"/>
          <w:highlight w:val="none"/>
        </w:rPr>
        <w:t>之间的，扣</w:t>
      </w:r>
      <w:r>
        <w:rPr>
          <w:sz w:val="24"/>
          <w:szCs w:val="24"/>
          <w:highlight w:val="none"/>
        </w:rPr>
        <w:t>1</w:t>
      </w:r>
      <w:r>
        <w:rPr>
          <w:rFonts w:hint="eastAsia"/>
          <w:sz w:val="24"/>
          <w:szCs w:val="24"/>
          <w:highlight w:val="none"/>
        </w:rPr>
        <w:t>分，</w:t>
      </w:r>
      <w:r>
        <w:rPr>
          <w:sz w:val="24"/>
          <w:szCs w:val="24"/>
          <w:highlight w:val="none"/>
        </w:rPr>
        <w:t>5%-10%</w:t>
      </w:r>
      <w:r>
        <w:rPr>
          <w:rFonts w:hint="eastAsia"/>
          <w:sz w:val="24"/>
          <w:szCs w:val="24"/>
          <w:highlight w:val="none"/>
        </w:rPr>
        <w:t>（含）之间的扣</w:t>
      </w:r>
      <w:r>
        <w:rPr>
          <w:sz w:val="24"/>
          <w:szCs w:val="24"/>
          <w:highlight w:val="none"/>
        </w:rPr>
        <w:t>3</w:t>
      </w:r>
      <w:r>
        <w:rPr>
          <w:rFonts w:hint="eastAsia"/>
          <w:sz w:val="24"/>
          <w:szCs w:val="24"/>
          <w:highlight w:val="none"/>
        </w:rPr>
        <w:t>分，</w:t>
      </w:r>
      <w:r>
        <w:rPr>
          <w:sz w:val="24"/>
          <w:szCs w:val="24"/>
          <w:highlight w:val="none"/>
        </w:rPr>
        <w:t>10%-15%</w:t>
      </w:r>
      <w:r>
        <w:rPr>
          <w:rFonts w:hint="eastAsia"/>
          <w:sz w:val="24"/>
          <w:szCs w:val="24"/>
          <w:highlight w:val="none"/>
        </w:rPr>
        <w:t>（含）之间的，扣</w:t>
      </w:r>
      <w:r>
        <w:rPr>
          <w:sz w:val="24"/>
          <w:szCs w:val="24"/>
          <w:highlight w:val="none"/>
        </w:rPr>
        <w:t>6</w:t>
      </w:r>
      <w:r>
        <w:rPr>
          <w:rFonts w:hint="eastAsia"/>
          <w:sz w:val="24"/>
          <w:szCs w:val="24"/>
          <w:highlight w:val="none"/>
        </w:rPr>
        <w:t>分，</w:t>
      </w:r>
      <w:r>
        <w:rPr>
          <w:sz w:val="24"/>
          <w:szCs w:val="24"/>
          <w:highlight w:val="none"/>
        </w:rPr>
        <w:t>15%-20%</w:t>
      </w:r>
      <w:r>
        <w:rPr>
          <w:rFonts w:hint="eastAsia"/>
          <w:sz w:val="24"/>
          <w:szCs w:val="24"/>
          <w:highlight w:val="none"/>
        </w:rPr>
        <w:t>之间的扣</w:t>
      </w:r>
      <w:r>
        <w:rPr>
          <w:sz w:val="24"/>
          <w:szCs w:val="24"/>
          <w:highlight w:val="none"/>
        </w:rPr>
        <w:t>10</w:t>
      </w:r>
      <w:r>
        <w:rPr>
          <w:rFonts w:hint="eastAsia"/>
          <w:sz w:val="24"/>
          <w:szCs w:val="24"/>
          <w:highlight w:val="none"/>
        </w:rPr>
        <w:t>分，但因需询价采购的材料的询价差异除外（需提供审计部门的审核报告，经招标人、审计部门、审价事务所共同盖章的审计定案表，且审核报告中明确上述差异的内容和金额）。</w:t>
      </w:r>
    </w:p>
    <w:p>
      <w:pPr>
        <w:ind w:firstLine="480" w:firstLineChars="200"/>
        <w:rPr>
          <w:sz w:val="24"/>
          <w:szCs w:val="24"/>
          <w:highlight w:val="none"/>
        </w:rPr>
      </w:pPr>
      <w:r>
        <w:rPr>
          <w:sz w:val="24"/>
          <w:szCs w:val="24"/>
          <w:highlight w:val="none"/>
        </w:rPr>
        <w:t>3</w:t>
      </w:r>
      <w:r>
        <w:rPr>
          <w:rFonts w:hint="eastAsia"/>
          <w:sz w:val="24"/>
          <w:szCs w:val="24"/>
          <w:highlight w:val="none"/>
        </w:rPr>
        <w:t>．建设工程类项目，招标代理机构更换入选备案时所报项目负责人的，直接清除出库，开标时入选备案时所报项目负责人没有到岗，且不能提供无法到岗的证据或提供的理由不充分的，将给予每次</w:t>
      </w:r>
      <w:r>
        <w:rPr>
          <w:sz w:val="24"/>
          <w:szCs w:val="24"/>
          <w:highlight w:val="none"/>
        </w:rPr>
        <w:t>5</w:t>
      </w:r>
      <w:r>
        <w:rPr>
          <w:rFonts w:hint="eastAsia"/>
          <w:sz w:val="24"/>
          <w:szCs w:val="24"/>
          <w:highlight w:val="none"/>
        </w:rPr>
        <w:t>分的扣分处理。</w:t>
      </w:r>
    </w:p>
    <w:p>
      <w:pPr>
        <w:ind w:firstLine="480" w:firstLineChars="200"/>
        <w:rPr>
          <w:sz w:val="24"/>
          <w:szCs w:val="24"/>
          <w:highlight w:val="none"/>
        </w:rPr>
      </w:pPr>
      <w:r>
        <w:rPr>
          <w:sz w:val="24"/>
          <w:szCs w:val="24"/>
          <w:highlight w:val="none"/>
        </w:rPr>
        <w:t>4</w:t>
      </w:r>
      <w:r>
        <w:rPr>
          <w:rFonts w:hint="eastAsia"/>
          <w:sz w:val="24"/>
          <w:szCs w:val="24"/>
          <w:highlight w:val="none"/>
        </w:rPr>
        <w:t>．制作的招标文件、招标公告设定的投标人资格标准错误，一次扣</w:t>
      </w:r>
      <w:r>
        <w:rPr>
          <w:sz w:val="24"/>
          <w:szCs w:val="24"/>
          <w:highlight w:val="none"/>
        </w:rPr>
        <w:t>1</w:t>
      </w:r>
      <w:r>
        <w:rPr>
          <w:rFonts w:hint="eastAsia"/>
          <w:sz w:val="24"/>
          <w:szCs w:val="24"/>
          <w:highlight w:val="none"/>
        </w:rPr>
        <w:t>分；招标文件（含答疑、澄清、补充说明）内容存在错误（与法律法规相冲突），一处扣</w:t>
      </w:r>
      <w:r>
        <w:rPr>
          <w:sz w:val="24"/>
          <w:szCs w:val="24"/>
          <w:highlight w:val="none"/>
        </w:rPr>
        <w:t>1</w:t>
      </w:r>
      <w:r>
        <w:rPr>
          <w:rFonts w:hint="eastAsia"/>
          <w:sz w:val="24"/>
          <w:szCs w:val="24"/>
          <w:highlight w:val="none"/>
        </w:rPr>
        <w:t>分；套用招标文件范本出现与招标项目实际情况明显不符的，一处扣</w:t>
      </w:r>
      <w:r>
        <w:rPr>
          <w:sz w:val="24"/>
          <w:szCs w:val="24"/>
          <w:highlight w:val="none"/>
        </w:rPr>
        <w:t>1</w:t>
      </w:r>
      <w:r>
        <w:rPr>
          <w:rFonts w:hint="eastAsia"/>
          <w:sz w:val="24"/>
          <w:szCs w:val="24"/>
          <w:highlight w:val="none"/>
        </w:rPr>
        <w:t>分；招标文件（含答疑、澄清、补充说明）内容前后矛盾，一处扣</w:t>
      </w:r>
      <w:r>
        <w:rPr>
          <w:sz w:val="24"/>
          <w:szCs w:val="24"/>
          <w:highlight w:val="none"/>
        </w:rPr>
        <w:t>1</w:t>
      </w:r>
      <w:r>
        <w:rPr>
          <w:rFonts w:hint="eastAsia"/>
          <w:sz w:val="24"/>
          <w:szCs w:val="24"/>
          <w:highlight w:val="none"/>
        </w:rPr>
        <w:t>分；因招标文件（含答疑、澄清、补充说明）等资料编制不严谨引起投标人、评标专家理解混乱、意见不一的，一次扣</w:t>
      </w:r>
      <w:r>
        <w:rPr>
          <w:sz w:val="24"/>
          <w:szCs w:val="24"/>
          <w:highlight w:val="none"/>
        </w:rPr>
        <w:t>3</w:t>
      </w:r>
      <w:r>
        <w:rPr>
          <w:rFonts w:hint="eastAsia"/>
          <w:sz w:val="24"/>
          <w:szCs w:val="24"/>
          <w:highlight w:val="none"/>
        </w:rPr>
        <w:t>分；因招标文件（含答疑、澄清、补充说明）表述不清或含有违法、违规条款等原因导致投诉的，一次扣</w:t>
      </w:r>
      <w:r>
        <w:rPr>
          <w:sz w:val="24"/>
          <w:szCs w:val="24"/>
          <w:highlight w:val="none"/>
        </w:rPr>
        <w:t>5</w:t>
      </w:r>
      <w:r>
        <w:rPr>
          <w:rFonts w:hint="eastAsia"/>
          <w:sz w:val="24"/>
          <w:szCs w:val="24"/>
          <w:highlight w:val="none"/>
        </w:rPr>
        <w:t>分；网上发布的文件与书面文件内容不一致、不相符的，一次扣</w:t>
      </w:r>
      <w:r>
        <w:rPr>
          <w:sz w:val="24"/>
          <w:szCs w:val="24"/>
          <w:highlight w:val="none"/>
        </w:rPr>
        <w:t>8</w:t>
      </w:r>
      <w:r>
        <w:rPr>
          <w:rFonts w:hint="eastAsia"/>
          <w:sz w:val="24"/>
          <w:szCs w:val="24"/>
          <w:highlight w:val="none"/>
        </w:rPr>
        <w:t>分；招标文件（含答疑、澄清、补充说明）制作存在严重缺陷，导致开标无法正常进行的，扣</w:t>
      </w:r>
      <w:r>
        <w:rPr>
          <w:sz w:val="24"/>
          <w:szCs w:val="24"/>
          <w:highlight w:val="none"/>
        </w:rPr>
        <w:t>10</w:t>
      </w:r>
      <w:r>
        <w:rPr>
          <w:rFonts w:hint="eastAsia"/>
          <w:sz w:val="24"/>
          <w:szCs w:val="24"/>
          <w:highlight w:val="none"/>
        </w:rPr>
        <w:t>分，导致开标失败的，扣</w:t>
      </w:r>
      <w:r>
        <w:rPr>
          <w:sz w:val="24"/>
          <w:szCs w:val="24"/>
          <w:highlight w:val="none"/>
        </w:rPr>
        <w:t>15</w:t>
      </w:r>
      <w:r>
        <w:rPr>
          <w:rFonts w:hint="eastAsia"/>
          <w:sz w:val="24"/>
          <w:szCs w:val="24"/>
          <w:highlight w:val="none"/>
        </w:rPr>
        <w:t>分。</w:t>
      </w:r>
    </w:p>
    <w:p>
      <w:pPr>
        <w:ind w:firstLine="480" w:firstLineChars="200"/>
        <w:rPr>
          <w:sz w:val="24"/>
          <w:szCs w:val="24"/>
          <w:highlight w:val="none"/>
        </w:rPr>
      </w:pPr>
      <w:r>
        <w:rPr>
          <w:sz w:val="24"/>
          <w:szCs w:val="24"/>
          <w:highlight w:val="none"/>
        </w:rPr>
        <w:t>5</w:t>
      </w:r>
      <w:r>
        <w:rPr>
          <w:rFonts w:hint="eastAsia"/>
          <w:sz w:val="24"/>
          <w:szCs w:val="24"/>
          <w:highlight w:val="none"/>
        </w:rPr>
        <w:t>．代理机构未在规定时间内上传或漏传清单、最高限价、图纸、清单控制价软件版文件、其他澄清文件等，或因代理机构原因上传清单等存在错误，造成开标时间推迟的，扣</w:t>
      </w:r>
      <w:r>
        <w:rPr>
          <w:sz w:val="24"/>
          <w:szCs w:val="24"/>
          <w:highlight w:val="none"/>
        </w:rPr>
        <w:t>3</w:t>
      </w:r>
      <w:r>
        <w:rPr>
          <w:rFonts w:hint="eastAsia"/>
          <w:sz w:val="24"/>
          <w:szCs w:val="24"/>
          <w:highlight w:val="none"/>
        </w:rPr>
        <w:t>分，造成无法正常开标的，扣</w:t>
      </w:r>
      <w:r>
        <w:rPr>
          <w:sz w:val="24"/>
          <w:szCs w:val="24"/>
          <w:highlight w:val="none"/>
        </w:rPr>
        <w:t>10</w:t>
      </w:r>
      <w:r>
        <w:rPr>
          <w:rFonts w:hint="eastAsia"/>
          <w:sz w:val="24"/>
          <w:szCs w:val="24"/>
          <w:highlight w:val="none"/>
        </w:rPr>
        <w:t>分，造成开标失败的，扣</w:t>
      </w:r>
      <w:r>
        <w:rPr>
          <w:sz w:val="24"/>
          <w:szCs w:val="24"/>
          <w:highlight w:val="none"/>
        </w:rPr>
        <w:t>15</w:t>
      </w:r>
      <w:r>
        <w:rPr>
          <w:rFonts w:hint="eastAsia"/>
          <w:sz w:val="24"/>
          <w:szCs w:val="24"/>
          <w:highlight w:val="none"/>
        </w:rPr>
        <w:t>分；应当对投标人提出的质疑进行回复，故意隐瞒不回复的，造成开标时间推迟的，扣</w:t>
      </w:r>
      <w:r>
        <w:rPr>
          <w:sz w:val="24"/>
          <w:szCs w:val="24"/>
          <w:highlight w:val="none"/>
        </w:rPr>
        <w:t>3</w:t>
      </w:r>
      <w:r>
        <w:rPr>
          <w:rFonts w:hint="eastAsia"/>
          <w:sz w:val="24"/>
          <w:szCs w:val="24"/>
          <w:highlight w:val="none"/>
        </w:rPr>
        <w:t>分，造成开标无法正常进行的，扣</w:t>
      </w:r>
      <w:r>
        <w:rPr>
          <w:sz w:val="24"/>
          <w:szCs w:val="24"/>
          <w:highlight w:val="none"/>
        </w:rPr>
        <w:t>10</w:t>
      </w:r>
      <w:r>
        <w:rPr>
          <w:rFonts w:hint="eastAsia"/>
          <w:sz w:val="24"/>
          <w:szCs w:val="24"/>
          <w:highlight w:val="none"/>
        </w:rPr>
        <w:t>分，造成开标失败的，扣</w:t>
      </w:r>
      <w:r>
        <w:rPr>
          <w:sz w:val="24"/>
          <w:szCs w:val="24"/>
          <w:highlight w:val="none"/>
        </w:rPr>
        <w:t>15</w:t>
      </w:r>
      <w:r>
        <w:rPr>
          <w:rFonts w:hint="eastAsia"/>
          <w:sz w:val="24"/>
          <w:szCs w:val="24"/>
          <w:highlight w:val="none"/>
        </w:rPr>
        <w:t>分。</w:t>
      </w:r>
    </w:p>
    <w:p>
      <w:pPr>
        <w:ind w:firstLine="480" w:firstLineChars="200"/>
        <w:rPr>
          <w:sz w:val="24"/>
          <w:szCs w:val="24"/>
          <w:highlight w:val="none"/>
        </w:rPr>
      </w:pPr>
      <w:r>
        <w:rPr>
          <w:sz w:val="24"/>
          <w:szCs w:val="24"/>
          <w:highlight w:val="none"/>
        </w:rPr>
        <w:t>6</w:t>
      </w:r>
      <w:r>
        <w:rPr>
          <w:rFonts w:hint="eastAsia"/>
          <w:sz w:val="24"/>
          <w:szCs w:val="24"/>
          <w:highlight w:val="none"/>
        </w:rPr>
        <w:t>．代理机构在协助检查整理评标资料过程中，因工作疏忽（计算错误、排序错误、单位名称错误、中标价格错误等），导致评标结果出现错误且结果已向投标人宣布的，未造成恶劣影响的，一次扣</w:t>
      </w:r>
      <w:r>
        <w:rPr>
          <w:sz w:val="24"/>
          <w:szCs w:val="24"/>
          <w:highlight w:val="none"/>
        </w:rPr>
        <w:t>2</w:t>
      </w:r>
      <w:r>
        <w:rPr>
          <w:rFonts w:hint="eastAsia"/>
          <w:sz w:val="24"/>
          <w:szCs w:val="24"/>
          <w:highlight w:val="none"/>
        </w:rPr>
        <w:t>分，造成恶劣影响（如投标企业投诉等）的，一次扣</w:t>
      </w:r>
      <w:r>
        <w:rPr>
          <w:sz w:val="24"/>
          <w:szCs w:val="24"/>
          <w:highlight w:val="none"/>
        </w:rPr>
        <w:t>8</w:t>
      </w:r>
      <w:r>
        <w:rPr>
          <w:rFonts w:hint="eastAsia"/>
          <w:sz w:val="24"/>
          <w:szCs w:val="24"/>
          <w:highlight w:val="none"/>
        </w:rPr>
        <w:t>分，另存在处理不当情况行为的，加扣</w:t>
      </w:r>
      <w:r>
        <w:rPr>
          <w:sz w:val="24"/>
          <w:szCs w:val="24"/>
          <w:highlight w:val="none"/>
        </w:rPr>
        <w:t>2</w:t>
      </w:r>
      <w:r>
        <w:rPr>
          <w:rFonts w:hint="eastAsia"/>
          <w:sz w:val="24"/>
          <w:szCs w:val="24"/>
          <w:highlight w:val="none"/>
        </w:rPr>
        <w:t>分。</w:t>
      </w:r>
    </w:p>
    <w:p>
      <w:pPr>
        <w:ind w:firstLine="480" w:firstLineChars="200"/>
        <w:rPr>
          <w:sz w:val="24"/>
          <w:szCs w:val="24"/>
          <w:highlight w:val="none"/>
        </w:rPr>
      </w:pPr>
      <w:r>
        <w:rPr>
          <w:sz w:val="24"/>
          <w:szCs w:val="24"/>
          <w:highlight w:val="none"/>
        </w:rPr>
        <w:t>7</w:t>
      </w:r>
      <w:r>
        <w:rPr>
          <w:rFonts w:hint="eastAsia"/>
          <w:sz w:val="24"/>
          <w:szCs w:val="24"/>
          <w:highlight w:val="none"/>
        </w:rPr>
        <w:t>．招标代理机构未按叶集区相关文件规定的程序擅自承揽招投标代理业务的，其代理制作的招标文件不予受理，给予该代理机构扣</w:t>
      </w:r>
      <w:r>
        <w:rPr>
          <w:sz w:val="24"/>
          <w:szCs w:val="24"/>
          <w:highlight w:val="none"/>
        </w:rPr>
        <w:t>10</w:t>
      </w:r>
      <w:r>
        <w:rPr>
          <w:rFonts w:hint="eastAsia"/>
          <w:sz w:val="24"/>
          <w:szCs w:val="24"/>
          <w:highlight w:val="none"/>
        </w:rPr>
        <w:t>分处理。擅自在叶集区范围内承揽公开招标项目的非本企业招标代理的清单控制价编制的，一次给予该代理机构</w:t>
      </w:r>
      <w:r>
        <w:rPr>
          <w:sz w:val="24"/>
          <w:szCs w:val="24"/>
          <w:highlight w:val="none"/>
        </w:rPr>
        <w:t>10</w:t>
      </w:r>
      <w:r>
        <w:rPr>
          <w:rFonts w:hint="eastAsia"/>
          <w:sz w:val="24"/>
          <w:szCs w:val="24"/>
          <w:highlight w:val="none"/>
        </w:rPr>
        <w:t>分扣分处理。</w:t>
      </w:r>
    </w:p>
    <w:p>
      <w:pPr>
        <w:ind w:firstLine="480" w:firstLineChars="200"/>
        <w:rPr>
          <w:sz w:val="24"/>
          <w:szCs w:val="24"/>
          <w:highlight w:val="none"/>
        </w:rPr>
      </w:pPr>
      <w:r>
        <w:rPr>
          <w:sz w:val="24"/>
          <w:szCs w:val="24"/>
          <w:highlight w:val="none"/>
        </w:rPr>
        <w:t>8</w:t>
      </w:r>
      <w:r>
        <w:rPr>
          <w:rFonts w:hint="eastAsia"/>
          <w:sz w:val="24"/>
          <w:szCs w:val="24"/>
          <w:highlight w:val="none"/>
        </w:rPr>
        <w:t>．招标代理机构不积极与招标人联系、接洽、商谈相关工作事宜；不积极主动办理委托范围内的各项工作、编制招标代理计划，延误招标代理时间；在代理工作过程中因业务不熟，给招标人的工作照成影响的。根据情节和严重程度，扣</w:t>
      </w:r>
      <w:r>
        <w:rPr>
          <w:sz w:val="24"/>
          <w:szCs w:val="24"/>
          <w:highlight w:val="none"/>
        </w:rPr>
        <w:t>0.5-5</w:t>
      </w:r>
      <w:r>
        <w:rPr>
          <w:rFonts w:hint="eastAsia"/>
          <w:sz w:val="24"/>
          <w:szCs w:val="24"/>
          <w:highlight w:val="none"/>
        </w:rPr>
        <w:t>分（由招标人打分）。</w:t>
      </w:r>
    </w:p>
    <w:p>
      <w:pPr>
        <w:ind w:firstLine="480" w:firstLineChars="200"/>
        <w:rPr>
          <w:sz w:val="24"/>
          <w:szCs w:val="24"/>
          <w:highlight w:val="none"/>
        </w:rPr>
      </w:pPr>
      <w:r>
        <w:rPr>
          <w:sz w:val="24"/>
          <w:szCs w:val="24"/>
          <w:highlight w:val="none"/>
        </w:rPr>
        <w:t>9</w:t>
      </w:r>
      <w:r>
        <w:rPr>
          <w:rFonts w:hint="eastAsia"/>
          <w:sz w:val="24"/>
          <w:szCs w:val="24"/>
          <w:highlight w:val="none"/>
        </w:rPr>
        <w:t>．招标项目的档案不按规定要求进行整理的，扣</w:t>
      </w:r>
      <w:r>
        <w:rPr>
          <w:sz w:val="24"/>
          <w:szCs w:val="24"/>
          <w:highlight w:val="none"/>
        </w:rPr>
        <w:t>1</w:t>
      </w:r>
      <w:r>
        <w:rPr>
          <w:rFonts w:hint="eastAsia"/>
          <w:sz w:val="24"/>
          <w:szCs w:val="24"/>
          <w:highlight w:val="none"/>
        </w:rPr>
        <w:t>分；存在缺项的，一处扣</w:t>
      </w:r>
      <w:r>
        <w:rPr>
          <w:sz w:val="24"/>
          <w:szCs w:val="24"/>
          <w:highlight w:val="none"/>
        </w:rPr>
        <w:t>0.5</w:t>
      </w:r>
      <w:r>
        <w:rPr>
          <w:rFonts w:hint="eastAsia"/>
          <w:sz w:val="24"/>
          <w:szCs w:val="24"/>
          <w:highlight w:val="none"/>
        </w:rPr>
        <w:t>分；重要内容缺失的（授权委托书原件、技术标综合评审表及详细评审表、商务标评审表、评标报告），一处扣</w:t>
      </w:r>
      <w:r>
        <w:rPr>
          <w:sz w:val="24"/>
          <w:szCs w:val="24"/>
          <w:highlight w:val="none"/>
        </w:rPr>
        <w:t>2</w:t>
      </w:r>
      <w:r>
        <w:rPr>
          <w:rFonts w:hint="eastAsia"/>
          <w:sz w:val="24"/>
          <w:szCs w:val="24"/>
          <w:highlight w:val="none"/>
        </w:rPr>
        <w:t>分；提供的档案资料与公共资源交易系统备案的资料不一致，未实质性影响意思表达的一致性的，一次扣</w:t>
      </w:r>
      <w:r>
        <w:rPr>
          <w:sz w:val="24"/>
          <w:szCs w:val="24"/>
          <w:highlight w:val="none"/>
        </w:rPr>
        <w:t>1</w:t>
      </w:r>
      <w:r>
        <w:rPr>
          <w:rFonts w:hint="eastAsia"/>
          <w:sz w:val="24"/>
          <w:szCs w:val="24"/>
          <w:highlight w:val="none"/>
        </w:rPr>
        <w:t>分，实质性影响两者意思表达的一致性或提供虚假档案资料的，一处扣</w:t>
      </w:r>
      <w:r>
        <w:rPr>
          <w:sz w:val="24"/>
          <w:szCs w:val="24"/>
          <w:highlight w:val="none"/>
        </w:rPr>
        <w:t>5</w:t>
      </w:r>
      <w:r>
        <w:rPr>
          <w:rFonts w:hint="eastAsia"/>
          <w:sz w:val="24"/>
          <w:szCs w:val="24"/>
          <w:highlight w:val="none"/>
        </w:rPr>
        <w:t>分；不按国家规定期限内及时进行移交的，迟延在</w:t>
      </w:r>
      <w:r>
        <w:rPr>
          <w:sz w:val="24"/>
          <w:szCs w:val="24"/>
          <w:highlight w:val="none"/>
        </w:rPr>
        <w:t>5</w:t>
      </w:r>
      <w:r>
        <w:rPr>
          <w:rFonts w:hint="eastAsia"/>
          <w:sz w:val="24"/>
          <w:szCs w:val="24"/>
          <w:highlight w:val="none"/>
        </w:rPr>
        <w:t>个工作日以内，扣</w:t>
      </w:r>
      <w:r>
        <w:rPr>
          <w:sz w:val="24"/>
          <w:szCs w:val="24"/>
          <w:highlight w:val="none"/>
        </w:rPr>
        <w:t xml:space="preserve">1 </w:t>
      </w:r>
      <w:r>
        <w:rPr>
          <w:rFonts w:hint="eastAsia"/>
          <w:sz w:val="24"/>
          <w:szCs w:val="24"/>
          <w:highlight w:val="none"/>
        </w:rPr>
        <w:t>分，每增加一天，加扣</w:t>
      </w:r>
      <w:r>
        <w:rPr>
          <w:sz w:val="24"/>
          <w:szCs w:val="24"/>
          <w:highlight w:val="none"/>
        </w:rPr>
        <w:t>0.5</w:t>
      </w:r>
      <w:r>
        <w:rPr>
          <w:rFonts w:hint="eastAsia"/>
          <w:sz w:val="24"/>
          <w:szCs w:val="24"/>
          <w:highlight w:val="none"/>
        </w:rPr>
        <w:t>分。</w:t>
      </w:r>
    </w:p>
    <w:p>
      <w:pPr>
        <w:ind w:firstLine="480" w:firstLineChars="200"/>
        <w:rPr>
          <w:sz w:val="24"/>
          <w:szCs w:val="24"/>
          <w:highlight w:val="none"/>
        </w:rPr>
      </w:pPr>
      <w:r>
        <w:rPr>
          <w:sz w:val="24"/>
          <w:szCs w:val="24"/>
          <w:highlight w:val="none"/>
        </w:rPr>
        <w:t>10</w:t>
      </w:r>
      <w:r>
        <w:rPr>
          <w:rFonts w:hint="eastAsia"/>
          <w:sz w:val="24"/>
          <w:szCs w:val="24"/>
          <w:highlight w:val="none"/>
        </w:rPr>
        <w:t>．知道或应当知道上级公共资源交易监管部门有关信息数据公布或上传要求，未按要求公布或上传相关交易信息、数据，或公布、上传信息数据有误，造成叶集区公管局在考核考评中被扣分或批评的，一次给予该代理机构</w:t>
      </w:r>
      <w:r>
        <w:rPr>
          <w:sz w:val="24"/>
          <w:szCs w:val="24"/>
          <w:highlight w:val="none"/>
        </w:rPr>
        <w:t>0.5</w:t>
      </w:r>
      <w:r>
        <w:rPr>
          <w:rFonts w:hint="eastAsia"/>
          <w:sz w:val="24"/>
          <w:szCs w:val="24"/>
          <w:highlight w:val="none"/>
        </w:rPr>
        <w:t>至</w:t>
      </w:r>
      <w:r>
        <w:rPr>
          <w:sz w:val="24"/>
          <w:szCs w:val="24"/>
          <w:highlight w:val="none"/>
        </w:rPr>
        <w:t>2</w:t>
      </w:r>
      <w:r>
        <w:rPr>
          <w:rFonts w:hint="eastAsia"/>
          <w:sz w:val="24"/>
          <w:szCs w:val="24"/>
          <w:highlight w:val="none"/>
        </w:rPr>
        <w:t>分扣分处理。</w:t>
      </w:r>
    </w:p>
    <w:p>
      <w:pPr>
        <w:ind w:firstLine="480" w:firstLineChars="200"/>
        <w:rPr>
          <w:rFonts w:eastAsia="黑体"/>
          <w:sz w:val="24"/>
          <w:szCs w:val="24"/>
          <w:highlight w:val="none"/>
        </w:rPr>
      </w:pPr>
      <w:r>
        <w:rPr>
          <w:rFonts w:hint="eastAsia" w:eastAsia="黑体"/>
          <w:sz w:val="24"/>
          <w:szCs w:val="24"/>
          <w:highlight w:val="none"/>
        </w:rPr>
        <w:t>二、代理政府采购项目及无标准范本的建设工程项目日常考评扣分标准</w:t>
      </w:r>
    </w:p>
    <w:p>
      <w:pPr>
        <w:ind w:firstLine="480" w:firstLineChars="200"/>
        <w:rPr>
          <w:sz w:val="24"/>
          <w:szCs w:val="24"/>
          <w:highlight w:val="none"/>
        </w:rPr>
      </w:pPr>
      <w:r>
        <w:rPr>
          <w:rFonts w:hint="eastAsia"/>
          <w:sz w:val="24"/>
          <w:szCs w:val="24"/>
          <w:highlight w:val="none"/>
        </w:rPr>
        <w:t>无标准范本的政府采购中分散采购招标项目的招标文件制作方面扣分按上述标准</w:t>
      </w:r>
      <w:r>
        <w:rPr>
          <w:sz w:val="24"/>
          <w:szCs w:val="24"/>
          <w:highlight w:val="none"/>
        </w:rPr>
        <w:t>10%</w:t>
      </w:r>
      <w:r>
        <w:rPr>
          <w:rFonts w:hint="eastAsia"/>
          <w:sz w:val="24"/>
          <w:szCs w:val="24"/>
          <w:highlight w:val="none"/>
        </w:rPr>
        <w:t>执行，有标准范本招标文件制作方面的扣分按上述标准</w:t>
      </w:r>
      <w:r>
        <w:rPr>
          <w:sz w:val="24"/>
          <w:szCs w:val="24"/>
          <w:highlight w:val="none"/>
        </w:rPr>
        <w:t>50%</w:t>
      </w:r>
      <w:r>
        <w:rPr>
          <w:rFonts w:hint="eastAsia"/>
          <w:sz w:val="24"/>
          <w:szCs w:val="24"/>
          <w:highlight w:val="none"/>
        </w:rPr>
        <w:t>执行；无标准范本建设工程招标项目招标文件制作方面扣分按上述标准</w:t>
      </w:r>
      <w:r>
        <w:rPr>
          <w:sz w:val="24"/>
          <w:szCs w:val="24"/>
          <w:highlight w:val="none"/>
        </w:rPr>
        <w:t>20%</w:t>
      </w:r>
      <w:r>
        <w:rPr>
          <w:rFonts w:hint="eastAsia"/>
          <w:sz w:val="24"/>
          <w:szCs w:val="24"/>
          <w:highlight w:val="none"/>
        </w:rPr>
        <w:t>执行。其他按上述扣分标准的</w:t>
      </w:r>
      <w:r>
        <w:rPr>
          <w:sz w:val="24"/>
          <w:szCs w:val="24"/>
          <w:highlight w:val="none"/>
        </w:rPr>
        <w:t>100%</w:t>
      </w:r>
      <w:r>
        <w:rPr>
          <w:rFonts w:hint="eastAsia"/>
          <w:sz w:val="24"/>
          <w:szCs w:val="24"/>
          <w:highlight w:val="none"/>
        </w:rPr>
        <w:t>执行。</w:t>
      </w:r>
    </w:p>
    <w:p>
      <w:pPr>
        <w:ind w:firstLine="480" w:firstLineChars="200"/>
        <w:rPr>
          <w:rFonts w:eastAsia="黑体"/>
          <w:sz w:val="24"/>
          <w:szCs w:val="24"/>
          <w:highlight w:val="none"/>
        </w:rPr>
      </w:pPr>
      <w:r>
        <w:rPr>
          <w:rFonts w:hint="eastAsia" w:eastAsia="黑体"/>
          <w:sz w:val="24"/>
          <w:szCs w:val="24"/>
          <w:highlight w:val="none"/>
        </w:rPr>
        <w:t>三、有下列情形之一的，直接从入选备案名单中剔除</w:t>
      </w:r>
    </w:p>
    <w:p>
      <w:pPr>
        <w:ind w:firstLine="480" w:firstLineChars="200"/>
        <w:rPr>
          <w:sz w:val="24"/>
          <w:szCs w:val="24"/>
          <w:highlight w:val="none"/>
        </w:rPr>
      </w:pPr>
      <w:r>
        <w:rPr>
          <w:sz w:val="24"/>
          <w:szCs w:val="24"/>
          <w:highlight w:val="none"/>
        </w:rPr>
        <w:t>1</w:t>
      </w:r>
      <w:r>
        <w:rPr>
          <w:rFonts w:hint="eastAsia"/>
          <w:sz w:val="24"/>
          <w:szCs w:val="24"/>
          <w:highlight w:val="none"/>
        </w:rPr>
        <w:t>．招标文件制作存在严重缺陷，造成恶劣影响的；</w:t>
      </w:r>
    </w:p>
    <w:p>
      <w:pPr>
        <w:ind w:firstLine="480" w:firstLineChars="200"/>
        <w:rPr>
          <w:sz w:val="24"/>
          <w:szCs w:val="24"/>
          <w:highlight w:val="none"/>
        </w:rPr>
      </w:pPr>
      <w:r>
        <w:rPr>
          <w:sz w:val="24"/>
          <w:szCs w:val="24"/>
          <w:highlight w:val="none"/>
        </w:rPr>
        <w:t>2</w:t>
      </w:r>
      <w:r>
        <w:rPr>
          <w:rFonts w:hint="eastAsia"/>
          <w:sz w:val="24"/>
          <w:szCs w:val="24"/>
          <w:highlight w:val="none"/>
        </w:rPr>
        <w:t>．编制的工程量清单预算价经审计局审核误差金额超过</w:t>
      </w:r>
      <w:r>
        <w:rPr>
          <w:sz w:val="24"/>
          <w:szCs w:val="24"/>
          <w:highlight w:val="none"/>
        </w:rPr>
        <w:t>20%</w:t>
      </w:r>
      <w:r>
        <w:rPr>
          <w:rFonts w:hint="eastAsia"/>
          <w:sz w:val="24"/>
          <w:szCs w:val="24"/>
          <w:highlight w:val="none"/>
        </w:rPr>
        <w:t>，且经认定是代理机构人为编制错误原因造成的；</w:t>
      </w:r>
    </w:p>
    <w:p>
      <w:pPr>
        <w:ind w:firstLine="480" w:firstLineChars="200"/>
        <w:rPr>
          <w:sz w:val="24"/>
          <w:szCs w:val="24"/>
          <w:highlight w:val="none"/>
        </w:rPr>
      </w:pPr>
      <w:r>
        <w:rPr>
          <w:sz w:val="24"/>
          <w:szCs w:val="24"/>
          <w:highlight w:val="none"/>
        </w:rPr>
        <w:t>3</w:t>
      </w:r>
      <w:r>
        <w:rPr>
          <w:rFonts w:hint="eastAsia"/>
          <w:sz w:val="24"/>
          <w:szCs w:val="24"/>
          <w:highlight w:val="none"/>
        </w:rPr>
        <w:t>．由于代理机构原因上传清单、图纸、最高限价等存在错误，造成恶劣影响的；</w:t>
      </w:r>
    </w:p>
    <w:p>
      <w:pPr>
        <w:ind w:firstLine="480" w:firstLineChars="200"/>
        <w:rPr>
          <w:sz w:val="24"/>
          <w:szCs w:val="24"/>
          <w:highlight w:val="none"/>
        </w:rPr>
      </w:pPr>
      <w:r>
        <w:rPr>
          <w:sz w:val="24"/>
          <w:szCs w:val="24"/>
          <w:highlight w:val="none"/>
        </w:rPr>
        <w:t>4</w:t>
      </w:r>
      <w:r>
        <w:rPr>
          <w:rFonts w:hint="eastAsia"/>
          <w:sz w:val="24"/>
          <w:szCs w:val="24"/>
          <w:highlight w:val="none"/>
        </w:rPr>
        <w:t>．对投标人提出的质疑故意隐瞒不回复，造成恶劣影响的；</w:t>
      </w:r>
    </w:p>
    <w:p>
      <w:pPr>
        <w:ind w:firstLine="480" w:firstLineChars="200"/>
        <w:rPr>
          <w:sz w:val="24"/>
          <w:szCs w:val="24"/>
          <w:highlight w:val="none"/>
        </w:rPr>
      </w:pPr>
      <w:r>
        <w:rPr>
          <w:sz w:val="24"/>
          <w:szCs w:val="24"/>
          <w:highlight w:val="none"/>
        </w:rPr>
        <w:t>5</w:t>
      </w:r>
      <w:r>
        <w:rPr>
          <w:rFonts w:hint="eastAsia"/>
          <w:sz w:val="24"/>
          <w:szCs w:val="24"/>
          <w:highlight w:val="none"/>
        </w:rPr>
        <w:t>．现场不满足开标条件，故意擅自开标的；</w:t>
      </w:r>
    </w:p>
    <w:p>
      <w:pPr>
        <w:ind w:firstLine="480" w:firstLineChars="200"/>
        <w:rPr>
          <w:sz w:val="24"/>
          <w:szCs w:val="24"/>
          <w:highlight w:val="none"/>
        </w:rPr>
      </w:pPr>
      <w:r>
        <w:rPr>
          <w:sz w:val="24"/>
          <w:szCs w:val="24"/>
          <w:highlight w:val="none"/>
        </w:rPr>
        <w:t>6</w:t>
      </w:r>
      <w:r>
        <w:rPr>
          <w:rFonts w:hint="eastAsia"/>
          <w:sz w:val="24"/>
          <w:szCs w:val="24"/>
          <w:highlight w:val="none"/>
        </w:rPr>
        <w:t>．与招标人、投标人串通损害国家利益，社会公共利益或他人合法权益的；</w:t>
      </w:r>
    </w:p>
    <w:p>
      <w:pPr>
        <w:ind w:firstLine="480" w:firstLineChars="200"/>
        <w:rPr>
          <w:sz w:val="24"/>
          <w:szCs w:val="24"/>
          <w:highlight w:val="none"/>
        </w:rPr>
      </w:pPr>
      <w:r>
        <w:rPr>
          <w:sz w:val="24"/>
          <w:szCs w:val="24"/>
          <w:highlight w:val="none"/>
        </w:rPr>
        <w:t>7</w:t>
      </w:r>
      <w:r>
        <w:rPr>
          <w:rFonts w:hint="eastAsia"/>
          <w:sz w:val="24"/>
          <w:szCs w:val="24"/>
          <w:highlight w:val="none"/>
        </w:rPr>
        <w:t>．不按要求配合招标人、区公共资源交易监督管理局处理质疑、投诉及围标串标行为的；</w:t>
      </w:r>
    </w:p>
    <w:p>
      <w:pPr>
        <w:ind w:firstLine="480" w:firstLineChars="200"/>
        <w:rPr>
          <w:sz w:val="24"/>
          <w:szCs w:val="24"/>
          <w:highlight w:val="none"/>
        </w:rPr>
      </w:pPr>
      <w:r>
        <w:rPr>
          <w:sz w:val="24"/>
          <w:szCs w:val="24"/>
          <w:highlight w:val="none"/>
        </w:rPr>
        <w:t>8</w:t>
      </w:r>
      <w:r>
        <w:rPr>
          <w:rFonts w:hint="eastAsia"/>
          <w:sz w:val="24"/>
          <w:szCs w:val="24"/>
          <w:highlight w:val="none"/>
        </w:rPr>
        <w:t>．在向区公共资源交易中心移交档案资料过程中，移交的档案资料与公共资源交易系统备案的资料不一致，实质性影响两者意思表达的一致性或提供虚假档案资料的，造成严重后果的；</w:t>
      </w:r>
    </w:p>
    <w:p>
      <w:pPr>
        <w:ind w:firstLine="480" w:firstLineChars="200"/>
        <w:rPr>
          <w:sz w:val="24"/>
          <w:szCs w:val="24"/>
          <w:highlight w:val="none"/>
        </w:rPr>
      </w:pPr>
      <w:r>
        <w:rPr>
          <w:sz w:val="24"/>
          <w:szCs w:val="24"/>
          <w:highlight w:val="none"/>
        </w:rPr>
        <w:t>9</w:t>
      </w:r>
      <w:r>
        <w:rPr>
          <w:rFonts w:hint="eastAsia"/>
          <w:sz w:val="24"/>
          <w:szCs w:val="24"/>
          <w:highlight w:val="none"/>
        </w:rPr>
        <w:t>．其他应从备案名单中剔除的情形。</w:t>
      </w:r>
    </w:p>
    <w:p>
      <w:pPr>
        <w:ind w:firstLine="480" w:firstLineChars="200"/>
        <w:rPr>
          <w:rFonts w:eastAsia="黑体"/>
          <w:sz w:val="24"/>
          <w:szCs w:val="24"/>
          <w:highlight w:val="none"/>
        </w:rPr>
      </w:pPr>
      <w:r>
        <w:rPr>
          <w:rFonts w:hint="eastAsia" w:eastAsia="黑体"/>
          <w:sz w:val="24"/>
          <w:szCs w:val="24"/>
          <w:highlight w:val="none"/>
        </w:rPr>
        <w:t>四、存在下列情形的，将暂停该代理机构</w:t>
      </w:r>
      <w:r>
        <w:rPr>
          <w:rFonts w:eastAsia="黑体"/>
          <w:sz w:val="24"/>
          <w:szCs w:val="24"/>
          <w:highlight w:val="none"/>
        </w:rPr>
        <w:t>3-5</w:t>
      </w:r>
      <w:r>
        <w:rPr>
          <w:rFonts w:hint="eastAsia" w:eastAsia="黑体"/>
          <w:sz w:val="24"/>
          <w:szCs w:val="24"/>
          <w:highlight w:val="none"/>
        </w:rPr>
        <w:t>个月被抽选的机会</w:t>
      </w:r>
    </w:p>
    <w:p>
      <w:pPr>
        <w:ind w:firstLine="480" w:firstLineChars="200"/>
        <w:rPr>
          <w:sz w:val="24"/>
          <w:szCs w:val="24"/>
          <w:highlight w:val="none"/>
        </w:rPr>
      </w:pPr>
      <w:r>
        <w:rPr>
          <w:sz w:val="24"/>
          <w:szCs w:val="24"/>
          <w:highlight w:val="none"/>
        </w:rPr>
        <w:t>1</w:t>
      </w:r>
      <w:r>
        <w:rPr>
          <w:rFonts w:hint="eastAsia"/>
          <w:sz w:val="24"/>
          <w:szCs w:val="24"/>
          <w:highlight w:val="none"/>
        </w:rPr>
        <w:t>．上一个项目被扣分达到</w:t>
      </w:r>
      <w:r>
        <w:rPr>
          <w:sz w:val="24"/>
          <w:szCs w:val="24"/>
          <w:highlight w:val="none"/>
        </w:rPr>
        <w:t>5</w:t>
      </w:r>
      <w:r>
        <w:rPr>
          <w:rFonts w:hint="eastAsia"/>
          <w:sz w:val="24"/>
          <w:szCs w:val="24"/>
          <w:highlight w:val="none"/>
        </w:rPr>
        <w:t>分的，将暂停</w:t>
      </w:r>
      <w:r>
        <w:rPr>
          <w:sz w:val="24"/>
          <w:szCs w:val="24"/>
          <w:highlight w:val="none"/>
        </w:rPr>
        <w:t>3</w:t>
      </w:r>
      <w:r>
        <w:rPr>
          <w:rFonts w:hint="eastAsia"/>
          <w:sz w:val="24"/>
          <w:szCs w:val="24"/>
          <w:highlight w:val="none"/>
        </w:rPr>
        <w:t>个月被抽选的机会；上一个项目被扣分达到</w:t>
      </w:r>
      <w:r>
        <w:rPr>
          <w:sz w:val="24"/>
          <w:szCs w:val="24"/>
          <w:highlight w:val="none"/>
        </w:rPr>
        <w:t>10</w:t>
      </w:r>
      <w:r>
        <w:rPr>
          <w:rFonts w:hint="eastAsia"/>
          <w:sz w:val="24"/>
          <w:szCs w:val="24"/>
          <w:highlight w:val="none"/>
        </w:rPr>
        <w:t>分的，将暂停</w:t>
      </w:r>
      <w:r>
        <w:rPr>
          <w:sz w:val="24"/>
          <w:szCs w:val="24"/>
          <w:highlight w:val="none"/>
        </w:rPr>
        <w:t>4</w:t>
      </w:r>
      <w:r>
        <w:rPr>
          <w:rFonts w:hint="eastAsia"/>
          <w:sz w:val="24"/>
          <w:szCs w:val="24"/>
          <w:highlight w:val="none"/>
        </w:rPr>
        <w:t>个月被抽选的机会；上一个项目被扣分达到</w:t>
      </w:r>
      <w:r>
        <w:rPr>
          <w:sz w:val="24"/>
          <w:szCs w:val="24"/>
          <w:highlight w:val="none"/>
        </w:rPr>
        <w:t>15</w:t>
      </w:r>
      <w:r>
        <w:rPr>
          <w:rFonts w:hint="eastAsia"/>
          <w:sz w:val="24"/>
          <w:szCs w:val="24"/>
          <w:highlight w:val="none"/>
        </w:rPr>
        <w:t>分的，将暂停</w:t>
      </w:r>
      <w:r>
        <w:rPr>
          <w:sz w:val="24"/>
          <w:szCs w:val="24"/>
          <w:highlight w:val="none"/>
        </w:rPr>
        <w:t>5</w:t>
      </w:r>
      <w:r>
        <w:rPr>
          <w:rFonts w:hint="eastAsia"/>
          <w:sz w:val="24"/>
          <w:szCs w:val="24"/>
          <w:highlight w:val="none"/>
        </w:rPr>
        <w:t>个月被抽选的机会。</w:t>
      </w:r>
    </w:p>
    <w:p>
      <w:pPr>
        <w:ind w:firstLine="480" w:firstLineChars="200"/>
        <w:rPr>
          <w:sz w:val="24"/>
          <w:szCs w:val="24"/>
          <w:highlight w:val="none"/>
        </w:rPr>
      </w:pPr>
      <w:r>
        <w:rPr>
          <w:sz w:val="24"/>
          <w:szCs w:val="24"/>
          <w:highlight w:val="none"/>
        </w:rPr>
        <w:t>2</w:t>
      </w:r>
      <w:r>
        <w:rPr>
          <w:rFonts w:hint="eastAsia"/>
          <w:sz w:val="24"/>
          <w:szCs w:val="24"/>
          <w:highlight w:val="none"/>
        </w:rPr>
        <w:t>．连续两个项目被扣分均达到</w:t>
      </w:r>
      <w:r>
        <w:rPr>
          <w:sz w:val="24"/>
          <w:szCs w:val="24"/>
          <w:highlight w:val="none"/>
        </w:rPr>
        <w:t>3</w:t>
      </w:r>
      <w:r>
        <w:rPr>
          <w:rFonts w:hint="eastAsia"/>
          <w:sz w:val="24"/>
          <w:szCs w:val="24"/>
          <w:highlight w:val="none"/>
        </w:rPr>
        <w:t>分的，将暂停</w:t>
      </w:r>
      <w:r>
        <w:rPr>
          <w:sz w:val="24"/>
          <w:szCs w:val="24"/>
          <w:highlight w:val="none"/>
        </w:rPr>
        <w:t>3</w:t>
      </w:r>
      <w:r>
        <w:rPr>
          <w:rFonts w:hint="eastAsia"/>
          <w:sz w:val="24"/>
          <w:szCs w:val="24"/>
          <w:highlight w:val="none"/>
        </w:rPr>
        <w:t>个月被抽选的机会，连续</w:t>
      </w:r>
      <w:r>
        <w:rPr>
          <w:sz w:val="24"/>
          <w:szCs w:val="24"/>
          <w:highlight w:val="none"/>
        </w:rPr>
        <w:t>2</w:t>
      </w:r>
      <w:r>
        <w:rPr>
          <w:rFonts w:hint="eastAsia"/>
          <w:sz w:val="24"/>
          <w:szCs w:val="24"/>
          <w:highlight w:val="none"/>
        </w:rPr>
        <w:t>个项目被扣分均达到</w:t>
      </w:r>
      <w:r>
        <w:rPr>
          <w:sz w:val="24"/>
          <w:szCs w:val="24"/>
          <w:highlight w:val="none"/>
        </w:rPr>
        <w:t>5</w:t>
      </w:r>
      <w:r>
        <w:rPr>
          <w:rFonts w:hint="eastAsia"/>
          <w:sz w:val="24"/>
          <w:szCs w:val="24"/>
          <w:highlight w:val="none"/>
        </w:rPr>
        <w:t>分的，将暂停</w:t>
      </w:r>
      <w:r>
        <w:rPr>
          <w:sz w:val="24"/>
          <w:szCs w:val="24"/>
          <w:highlight w:val="none"/>
        </w:rPr>
        <w:t>4</w:t>
      </w:r>
      <w:r>
        <w:rPr>
          <w:rFonts w:hint="eastAsia"/>
          <w:sz w:val="24"/>
          <w:szCs w:val="24"/>
          <w:highlight w:val="none"/>
        </w:rPr>
        <w:t>个月被抽选的机会，连续</w:t>
      </w:r>
      <w:r>
        <w:rPr>
          <w:sz w:val="24"/>
          <w:szCs w:val="24"/>
          <w:highlight w:val="none"/>
        </w:rPr>
        <w:t>2</w:t>
      </w:r>
      <w:r>
        <w:rPr>
          <w:rFonts w:hint="eastAsia"/>
          <w:sz w:val="24"/>
          <w:szCs w:val="24"/>
          <w:highlight w:val="none"/>
        </w:rPr>
        <w:t>个项目被扣分均达到</w:t>
      </w:r>
      <w:r>
        <w:rPr>
          <w:sz w:val="24"/>
          <w:szCs w:val="24"/>
          <w:highlight w:val="none"/>
        </w:rPr>
        <w:t>8</w:t>
      </w:r>
      <w:r>
        <w:rPr>
          <w:rFonts w:hint="eastAsia"/>
          <w:sz w:val="24"/>
          <w:szCs w:val="24"/>
          <w:highlight w:val="none"/>
        </w:rPr>
        <w:t>分的，的，将暂停</w:t>
      </w:r>
      <w:r>
        <w:rPr>
          <w:sz w:val="24"/>
          <w:szCs w:val="24"/>
          <w:highlight w:val="none"/>
        </w:rPr>
        <w:t>5</w:t>
      </w:r>
      <w:r>
        <w:rPr>
          <w:rFonts w:hint="eastAsia"/>
          <w:sz w:val="24"/>
          <w:szCs w:val="24"/>
          <w:highlight w:val="none"/>
        </w:rPr>
        <w:t>个月被抽选的机会。</w:t>
      </w:r>
    </w:p>
    <w:p>
      <w:pPr>
        <w:ind w:firstLine="480" w:firstLineChars="200"/>
        <w:rPr>
          <w:rFonts w:eastAsia="黑体"/>
          <w:sz w:val="24"/>
          <w:szCs w:val="24"/>
          <w:highlight w:val="none"/>
        </w:rPr>
      </w:pPr>
      <w:r>
        <w:rPr>
          <w:rFonts w:hint="eastAsia" w:eastAsia="黑体"/>
          <w:sz w:val="24"/>
          <w:szCs w:val="24"/>
          <w:highlight w:val="none"/>
        </w:rPr>
        <w:t>五、叶集区入选备案招标代理机构奖惩使用</w:t>
      </w:r>
    </w:p>
    <w:p>
      <w:pPr>
        <w:ind w:firstLine="480" w:firstLineChars="200"/>
        <w:rPr>
          <w:sz w:val="24"/>
          <w:szCs w:val="24"/>
          <w:highlight w:val="none"/>
        </w:rPr>
      </w:pPr>
      <w:r>
        <w:rPr>
          <w:sz w:val="24"/>
          <w:szCs w:val="24"/>
          <w:highlight w:val="none"/>
        </w:rPr>
        <w:t>1</w:t>
      </w:r>
      <w:r>
        <w:rPr>
          <w:rFonts w:hint="eastAsia"/>
          <w:sz w:val="24"/>
          <w:szCs w:val="24"/>
          <w:highlight w:val="none"/>
        </w:rPr>
        <w:t>．招标代理机构入选服务期限届满，日常考核评价表现优良的代理机构（按平均每个项目扣分数多少评定），下一期可以直接纳入相应等级招标代理入选备案名单，但直接纳入总数不超过原该类层级代理机构数的三分之二，按平均扣分数由低到高排名依次确定纳入名单，其中乙类库、丙类库企业排名前</w:t>
      </w:r>
      <w:r>
        <w:rPr>
          <w:sz w:val="24"/>
          <w:szCs w:val="24"/>
          <w:highlight w:val="none"/>
        </w:rPr>
        <w:t>15%</w:t>
      </w:r>
      <w:r>
        <w:rPr>
          <w:rFonts w:hint="eastAsia"/>
          <w:sz w:val="24"/>
          <w:szCs w:val="24"/>
          <w:highlight w:val="none"/>
        </w:rPr>
        <w:t>的，可晋升为上一类等级库（按四舍五入确定名额，排名相同的，抽签确定。乙类库晋升为甲类库的家数不超过</w:t>
      </w:r>
      <w:r>
        <w:rPr>
          <w:sz w:val="24"/>
          <w:szCs w:val="24"/>
          <w:highlight w:val="none"/>
        </w:rPr>
        <w:t>1</w:t>
      </w:r>
      <w:r>
        <w:rPr>
          <w:rFonts w:hint="eastAsia"/>
          <w:sz w:val="24"/>
          <w:szCs w:val="24"/>
          <w:highlight w:val="none"/>
        </w:rPr>
        <w:t>个，丙类库晋升为乙类库的家数不超过</w:t>
      </w:r>
      <w:r>
        <w:rPr>
          <w:sz w:val="24"/>
          <w:szCs w:val="24"/>
          <w:highlight w:val="none"/>
        </w:rPr>
        <w:t>2</w:t>
      </w:r>
      <w:r>
        <w:rPr>
          <w:rFonts w:hint="eastAsia"/>
          <w:sz w:val="24"/>
          <w:szCs w:val="24"/>
          <w:highlight w:val="none"/>
        </w:rPr>
        <w:t>个，同时乙类库晋升为甲类库的，一般只能从事土建类工程代理业务，但可提供</w:t>
      </w:r>
      <w:r>
        <w:rPr>
          <w:sz w:val="24"/>
          <w:szCs w:val="24"/>
          <w:highlight w:val="none"/>
        </w:rPr>
        <w:t>3</w:t>
      </w:r>
      <w:r>
        <w:rPr>
          <w:rFonts w:hint="eastAsia"/>
          <w:sz w:val="24"/>
          <w:szCs w:val="24"/>
          <w:highlight w:val="none"/>
        </w:rPr>
        <w:t>个以上需代理项目类似代理业绩的除外）；未纳入本层级但考核优良的企业，降级纳入；表现一般的，可以降级直接纳入；其余企业，予以淘汰，且各类层级备案代理机构淘汰率不低于原该层级总数的</w:t>
      </w:r>
      <w:r>
        <w:rPr>
          <w:sz w:val="24"/>
          <w:szCs w:val="24"/>
          <w:highlight w:val="none"/>
        </w:rPr>
        <w:t xml:space="preserve"> 1/3</w:t>
      </w:r>
      <w:r>
        <w:rPr>
          <w:rFonts w:hint="eastAsia"/>
          <w:sz w:val="24"/>
          <w:szCs w:val="24"/>
          <w:highlight w:val="none"/>
        </w:rPr>
        <w:t>。入选服务期内代理公开招标项目少于</w:t>
      </w:r>
      <w:r>
        <w:rPr>
          <w:sz w:val="24"/>
          <w:szCs w:val="24"/>
          <w:highlight w:val="none"/>
        </w:rPr>
        <w:t>2</w:t>
      </w:r>
      <w:r>
        <w:rPr>
          <w:rFonts w:hint="eastAsia"/>
          <w:sz w:val="24"/>
          <w:szCs w:val="24"/>
          <w:highlight w:val="none"/>
        </w:rPr>
        <w:t>个的，不作为晋升上一类等级库的备选名单，无扣分的，可继续纳入本层级管理，有扣分的，根据本文件规定确定是否予以淘汰。</w:t>
      </w:r>
    </w:p>
    <w:p>
      <w:pPr>
        <w:ind w:firstLine="480" w:firstLineChars="200"/>
        <w:rPr>
          <w:sz w:val="24"/>
          <w:szCs w:val="24"/>
          <w:highlight w:val="none"/>
        </w:rPr>
      </w:pPr>
      <w:r>
        <w:rPr>
          <w:sz w:val="24"/>
          <w:szCs w:val="24"/>
          <w:highlight w:val="none"/>
        </w:rPr>
        <w:t>2</w:t>
      </w:r>
      <w:r>
        <w:rPr>
          <w:rFonts w:hint="eastAsia"/>
          <w:sz w:val="24"/>
          <w:szCs w:val="24"/>
          <w:highlight w:val="none"/>
        </w:rPr>
        <w:t>．各代理机构按平均每个项目扣分数由低到高排序。各层级平均扣分低于</w:t>
      </w:r>
      <w:r>
        <w:rPr>
          <w:sz w:val="24"/>
          <w:szCs w:val="24"/>
          <w:highlight w:val="none"/>
        </w:rPr>
        <w:t>0.5</w:t>
      </w:r>
      <w:r>
        <w:rPr>
          <w:rFonts w:hint="eastAsia"/>
          <w:sz w:val="24"/>
          <w:szCs w:val="24"/>
          <w:highlight w:val="none"/>
        </w:rPr>
        <w:t>分的定为优良，等于或高于</w:t>
      </w:r>
      <w:r>
        <w:rPr>
          <w:sz w:val="24"/>
          <w:szCs w:val="24"/>
          <w:highlight w:val="none"/>
        </w:rPr>
        <w:t>0.5</w:t>
      </w:r>
      <w:r>
        <w:rPr>
          <w:rFonts w:hint="eastAsia"/>
          <w:sz w:val="24"/>
          <w:szCs w:val="24"/>
          <w:highlight w:val="none"/>
        </w:rPr>
        <w:t>分但低于</w:t>
      </w:r>
      <w:r>
        <w:rPr>
          <w:sz w:val="24"/>
          <w:szCs w:val="24"/>
          <w:highlight w:val="none"/>
        </w:rPr>
        <w:t>2</w:t>
      </w:r>
      <w:r>
        <w:rPr>
          <w:rFonts w:hint="eastAsia"/>
          <w:sz w:val="24"/>
          <w:szCs w:val="24"/>
          <w:highlight w:val="none"/>
        </w:rPr>
        <w:t>分的定为一般。</w:t>
      </w:r>
    </w:p>
    <w:p>
      <w:pPr>
        <w:ind w:firstLine="480" w:firstLineChars="200"/>
        <w:rPr>
          <w:rFonts w:eastAsia="黑体"/>
          <w:sz w:val="24"/>
          <w:szCs w:val="24"/>
          <w:highlight w:val="none"/>
        </w:rPr>
      </w:pPr>
      <w:r>
        <w:rPr>
          <w:rFonts w:hint="eastAsia" w:eastAsia="黑体"/>
          <w:sz w:val="24"/>
          <w:szCs w:val="24"/>
          <w:highlight w:val="none"/>
        </w:rPr>
        <w:t>六、代理非招标方式采购项目的日常考核及使用</w:t>
      </w:r>
    </w:p>
    <w:p>
      <w:pPr>
        <w:ind w:firstLine="480" w:firstLineChars="200"/>
        <w:rPr>
          <w:sz w:val="24"/>
          <w:szCs w:val="24"/>
          <w:highlight w:val="none"/>
        </w:rPr>
      </w:pPr>
      <w:r>
        <w:rPr>
          <w:rFonts w:hint="eastAsia"/>
          <w:sz w:val="24"/>
          <w:szCs w:val="24"/>
          <w:highlight w:val="none"/>
        </w:rPr>
        <w:t>无标准范本的分散采购限额以上非招标项目按照上述标准的</w:t>
      </w:r>
      <w:r>
        <w:rPr>
          <w:sz w:val="24"/>
          <w:szCs w:val="24"/>
          <w:highlight w:val="none"/>
        </w:rPr>
        <w:t>10%</w:t>
      </w:r>
      <w:r>
        <w:rPr>
          <w:rFonts w:hint="eastAsia"/>
          <w:sz w:val="24"/>
          <w:szCs w:val="24"/>
          <w:highlight w:val="none"/>
        </w:rPr>
        <w:t>计算分值，有标准范本的按上述标准的</w:t>
      </w:r>
      <w:r>
        <w:rPr>
          <w:sz w:val="24"/>
          <w:szCs w:val="24"/>
          <w:highlight w:val="none"/>
        </w:rPr>
        <w:t>20%</w:t>
      </w:r>
      <w:r>
        <w:rPr>
          <w:rFonts w:hint="eastAsia"/>
          <w:sz w:val="24"/>
          <w:szCs w:val="24"/>
          <w:highlight w:val="none"/>
        </w:rPr>
        <w:t>执行，但土建工程项目按上述标准的</w:t>
      </w:r>
      <w:r>
        <w:rPr>
          <w:sz w:val="24"/>
          <w:szCs w:val="24"/>
          <w:highlight w:val="none"/>
        </w:rPr>
        <w:t>100%</w:t>
      </w:r>
      <w:r>
        <w:rPr>
          <w:rFonts w:hint="eastAsia"/>
          <w:sz w:val="24"/>
          <w:szCs w:val="24"/>
          <w:highlight w:val="none"/>
        </w:rPr>
        <w:t>计算分值（项目负责人未到岗按上述标准的</w:t>
      </w:r>
      <w:r>
        <w:rPr>
          <w:sz w:val="24"/>
          <w:szCs w:val="24"/>
          <w:highlight w:val="none"/>
        </w:rPr>
        <w:t>10%</w:t>
      </w:r>
      <w:r>
        <w:rPr>
          <w:rFonts w:hint="eastAsia"/>
          <w:sz w:val="24"/>
          <w:szCs w:val="24"/>
          <w:highlight w:val="none"/>
        </w:rPr>
        <w:t>计算分值）。每个项目扣分达到或超过</w:t>
      </w:r>
      <w:r>
        <w:rPr>
          <w:sz w:val="24"/>
          <w:szCs w:val="24"/>
          <w:highlight w:val="none"/>
        </w:rPr>
        <w:t xml:space="preserve"> 1</w:t>
      </w:r>
      <w:r>
        <w:rPr>
          <w:rFonts w:hint="eastAsia"/>
          <w:sz w:val="24"/>
          <w:szCs w:val="24"/>
          <w:highlight w:val="none"/>
        </w:rPr>
        <w:t>分小于</w:t>
      </w:r>
      <w:r>
        <w:rPr>
          <w:sz w:val="24"/>
          <w:szCs w:val="24"/>
          <w:highlight w:val="none"/>
        </w:rPr>
        <w:t>2</w:t>
      </w:r>
      <w:r>
        <w:rPr>
          <w:rFonts w:hint="eastAsia"/>
          <w:sz w:val="24"/>
          <w:szCs w:val="24"/>
          <w:highlight w:val="none"/>
        </w:rPr>
        <w:t>分的，将暂停该代理机构</w:t>
      </w:r>
      <w:r>
        <w:rPr>
          <w:sz w:val="24"/>
          <w:szCs w:val="24"/>
          <w:highlight w:val="none"/>
        </w:rPr>
        <w:t>3</w:t>
      </w:r>
      <w:r>
        <w:rPr>
          <w:rFonts w:hint="eastAsia"/>
          <w:sz w:val="24"/>
          <w:szCs w:val="24"/>
          <w:highlight w:val="none"/>
        </w:rPr>
        <w:t>个月代理非招标采购项目资格，每个项目达到</w:t>
      </w:r>
      <w:r>
        <w:rPr>
          <w:sz w:val="24"/>
          <w:szCs w:val="24"/>
          <w:highlight w:val="none"/>
        </w:rPr>
        <w:t>2</w:t>
      </w:r>
      <w:r>
        <w:rPr>
          <w:rFonts w:hint="eastAsia"/>
          <w:sz w:val="24"/>
          <w:szCs w:val="24"/>
          <w:highlight w:val="none"/>
        </w:rPr>
        <w:t>分或超过</w:t>
      </w:r>
      <w:r>
        <w:rPr>
          <w:sz w:val="24"/>
          <w:szCs w:val="24"/>
          <w:highlight w:val="none"/>
        </w:rPr>
        <w:t>2</w:t>
      </w:r>
      <w:r>
        <w:rPr>
          <w:rFonts w:hint="eastAsia"/>
          <w:sz w:val="24"/>
          <w:szCs w:val="24"/>
          <w:highlight w:val="none"/>
        </w:rPr>
        <w:t>分小于</w:t>
      </w:r>
      <w:r>
        <w:rPr>
          <w:sz w:val="24"/>
          <w:szCs w:val="24"/>
          <w:highlight w:val="none"/>
        </w:rPr>
        <w:t>3</w:t>
      </w:r>
      <w:r>
        <w:rPr>
          <w:rFonts w:hint="eastAsia"/>
          <w:sz w:val="24"/>
          <w:szCs w:val="24"/>
          <w:highlight w:val="none"/>
        </w:rPr>
        <w:t>分的，暂停该代理机构</w:t>
      </w:r>
      <w:r>
        <w:rPr>
          <w:sz w:val="24"/>
          <w:szCs w:val="24"/>
          <w:highlight w:val="none"/>
        </w:rPr>
        <w:t>6</w:t>
      </w:r>
      <w:r>
        <w:rPr>
          <w:rFonts w:hint="eastAsia"/>
          <w:sz w:val="24"/>
          <w:szCs w:val="24"/>
          <w:highlight w:val="none"/>
        </w:rPr>
        <w:t>个月代理非招标采购项目资格，超过</w:t>
      </w:r>
      <w:r>
        <w:rPr>
          <w:sz w:val="24"/>
          <w:szCs w:val="24"/>
          <w:highlight w:val="none"/>
        </w:rPr>
        <w:t>3</w:t>
      </w:r>
      <w:r>
        <w:rPr>
          <w:rFonts w:hint="eastAsia"/>
          <w:sz w:val="24"/>
          <w:szCs w:val="24"/>
          <w:highlight w:val="none"/>
        </w:rPr>
        <w:t>分的（含</w:t>
      </w:r>
      <w:r>
        <w:rPr>
          <w:sz w:val="24"/>
          <w:szCs w:val="24"/>
          <w:highlight w:val="none"/>
        </w:rPr>
        <w:t>3</w:t>
      </w:r>
      <w:r>
        <w:rPr>
          <w:rFonts w:hint="eastAsia"/>
          <w:sz w:val="24"/>
          <w:szCs w:val="24"/>
          <w:highlight w:val="none"/>
        </w:rPr>
        <w:t>分），暂停其</w:t>
      </w:r>
      <w:r>
        <w:rPr>
          <w:sz w:val="24"/>
          <w:szCs w:val="24"/>
          <w:highlight w:val="none"/>
        </w:rPr>
        <w:t>12</w:t>
      </w:r>
      <w:r>
        <w:rPr>
          <w:rFonts w:hint="eastAsia"/>
          <w:sz w:val="24"/>
          <w:szCs w:val="24"/>
          <w:highlight w:val="none"/>
        </w:rPr>
        <w:t>月代理非招标采购项目资格，对外发布的文件与通过审核并签字盖章的纸质文件的不一致，存在轻微偏差，不影响两种类型文件意思表达的一致性，给予暂停该代理机构</w:t>
      </w:r>
      <w:r>
        <w:rPr>
          <w:sz w:val="24"/>
          <w:szCs w:val="24"/>
          <w:highlight w:val="none"/>
        </w:rPr>
        <w:t>3</w:t>
      </w:r>
      <w:r>
        <w:rPr>
          <w:rFonts w:hint="eastAsia"/>
          <w:sz w:val="24"/>
          <w:szCs w:val="24"/>
          <w:highlight w:val="none"/>
        </w:rPr>
        <w:t>月个代理非招标采购项目资格的处理；存在重大偏差，实质性造成两种类型文件的意思表达不一致的，给予暂停该代理机构</w:t>
      </w:r>
      <w:r>
        <w:rPr>
          <w:sz w:val="24"/>
          <w:szCs w:val="24"/>
          <w:highlight w:val="none"/>
        </w:rPr>
        <w:t>3</w:t>
      </w:r>
      <w:r>
        <w:rPr>
          <w:rFonts w:hint="eastAsia"/>
          <w:sz w:val="24"/>
          <w:szCs w:val="24"/>
          <w:highlight w:val="none"/>
        </w:rPr>
        <w:t>月个代理非招标采购项目资格的处理；因制作采购文件存在重大缺陷、组织采购活动过程中存在重大过失或故意行为，造成恶劣影响，严重影响项目实施的，给予停止非公开招标项目的代理资格的处理。</w:t>
      </w:r>
      <w:bookmarkStart w:id="15" w:name="_GoBack"/>
      <w:bookmarkEnd w:id="15"/>
    </w:p>
    <w:p>
      <w:pPr>
        <w:ind w:firstLine="480" w:firstLineChars="200"/>
        <w:rPr>
          <w:sz w:val="24"/>
          <w:szCs w:val="24"/>
          <w:highlight w:val="none"/>
        </w:rPr>
      </w:pPr>
      <w:r>
        <w:rPr>
          <w:rFonts w:hint="eastAsia"/>
          <w:sz w:val="24"/>
          <w:szCs w:val="24"/>
          <w:highlight w:val="none"/>
        </w:rPr>
        <w:t>暂停或停止代理非招标采购项目资格的，区公管局将予以公告。</w:t>
      </w:r>
    </w:p>
    <w:p>
      <w:pPr>
        <w:ind w:firstLine="480" w:firstLineChars="200"/>
        <w:rPr>
          <w:sz w:val="24"/>
          <w:szCs w:val="24"/>
          <w:highlight w:val="none"/>
        </w:rPr>
      </w:pPr>
      <w:r>
        <w:rPr>
          <w:rFonts w:hint="eastAsia"/>
          <w:sz w:val="24"/>
          <w:szCs w:val="24"/>
          <w:highlight w:val="none"/>
        </w:rPr>
        <w:t>代理非招标方式采购项目所扣分值不作为对代理机构排名、确定优良、一般的评定依据。</w:t>
      </w:r>
    </w:p>
    <w:p>
      <w:pPr>
        <w:ind w:firstLine="480" w:firstLineChars="200"/>
        <w:rPr>
          <w:rFonts w:eastAsia="黑体"/>
          <w:sz w:val="24"/>
          <w:szCs w:val="24"/>
          <w:highlight w:val="none"/>
        </w:rPr>
      </w:pPr>
      <w:r>
        <w:rPr>
          <w:rFonts w:hint="eastAsia"/>
          <w:sz w:val="24"/>
          <w:szCs w:val="24"/>
          <w:highlight w:val="none"/>
        </w:rPr>
        <w:t>本考评标准自公布之日起生效，原考核标准与本标准不一致的地方，以本标准为准。</w:t>
      </w:r>
    </w:p>
    <w:p>
      <w:pPr>
        <w:pStyle w:val="24"/>
        <w:ind w:firstLine="200"/>
        <w:rPr>
          <w:highlight w:val="none"/>
        </w:rPr>
      </w:pP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44</w:t>
    </w:r>
    <w:r>
      <w:rPr>
        <w:rStyle w:val="28"/>
      </w:rPr>
      <w:fldChar w:fldCharType="end"/>
    </w:r>
  </w:p>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rPr>
                              <w:sz w:val="18"/>
                            </w:rPr>
                            <w:t>44</w:t>
                          </w:r>
                          <w:r>
                            <w:rPr>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IApiWLTAQAApAMAAA4AAAAAAAAAAQAgAAAAHwEA&#10;AGRycy9lMm9Eb2MueG1sUEsFBgAAAAAGAAYAWQEAAGQ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44</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o9Bs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Xo9B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A1495"/>
    <w:multiLevelType w:val="singleLevel"/>
    <w:tmpl w:val="2FDA14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44748"/>
    <w:rsid w:val="00001E3B"/>
    <w:rsid w:val="00003028"/>
    <w:rsid w:val="000030D7"/>
    <w:rsid w:val="00005E6F"/>
    <w:rsid w:val="00012E13"/>
    <w:rsid w:val="00013A35"/>
    <w:rsid w:val="00013F3A"/>
    <w:rsid w:val="00015474"/>
    <w:rsid w:val="00017CDE"/>
    <w:rsid w:val="00020DEE"/>
    <w:rsid w:val="000239DD"/>
    <w:rsid w:val="00023FD7"/>
    <w:rsid w:val="000267C7"/>
    <w:rsid w:val="00027B42"/>
    <w:rsid w:val="000300CF"/>
    <w:rsid w:val="0003096C"/>
    <w:rsid w:val="00030BB5"/>
    <w:rsid w:val="0003311B"/>
    <w:rsid w:val="00033F8B"/>
    <w:rsid w:val="000368CC"/>
    <w:rsid w:val="000379D9"/>
    <w:rsid w:val="000400FB"/>
    <w:rsid w:val="0004334C"/>
    <w:rsid w:val="00046009"/>
    <w:rsid w:val="00047BE9"/>
    <w:rsid w:val="000503A7"/>
    <w:rsid w:val="00056858"/>
    <w:rsid w:val="000617AC"/>
    <w:rsid w:val="000635AA"/>
    <w:rsid w:val="00064969"/>
    <w:rsid w:val="00067640"/>
    <w:rsid w:val="0007093C"/>
    <w:rsid w:val="0007389C"/>
    <w:rsid w:val="000744A3"/>
    <w:rsid w:val="0007521E"/>
    <w:rsid w:val="00076923"/>
    <w:rsid w:val="000810EB"/>
    <w:rsid w:val="00081E25"/>
    <w:rsid w:val="000823DF"/>
    <w:rsid w:val="00082DFE"/>
    <w:rsid w:val="00083E0C"/>
    <w:rsid w:val="0008484B"/>
    <w:rsid w:val="000854ED"/>
    <w:rsid w:val="0009046B"/>
    <w:rsid w:val="00094B67"/>
    <w:rsid w:val="000976E1"/>
    <w:rsid w:val="000A0626"/>
    <w:rsid w:val="000A172F"/>
    <w:rsid w:val="000A1BE5"/>
    <w:rsid w:val="000A2879"/>
    <w:rsid w:val="000A73F1"/>
    <w:rsid w:val="000B0990"/>
    <w:rsid w:val="000B2E08"/>
    <w:rsid w:val="000B3998"/>
    <w:rsid w:val="000B3F1D"/>
    <w:rsid w:val="000B4D7A"/>
    <w:rsid w:val="000B6A7E"/>
    <w:rsid w:val="000B78A9"/>
    <w:rsid w:val="000C2066"/>
    <w:rsid w:val="000C2F11"/>
    <w:rsid w:val="000C5D33"/>
    <w:rsid w:val="000C613A"/>
    <w:rsid w:val="000D01B9"/>
    <w:rsid w:val="000D0FFA"/>
    <w:rsid w:val="000D1340"/>
    <w:rsid w:val="000D4E71"/>
    <w:rsid w:val="000D7272"/>
    <w:rsid w:val="000E14E3"/>
    <w:rsid w:val="000E1E06"/>
    <w:rsid w:val="000E4923"/>
    <w:rsid w:val="000E7CCE"/>
    <w:rsid w:val="000F16CE"/>
    <w:rsid w:val="000F38DC"/>
    <w:rsid w:val="00103D8F"/>
    <w:rsid w:val="00105223"/>
    <w:rsid w:val="001064FC"/>
    <w:rsid w:val="0011149B"/>
    <w:rsid w:val="00111536"/>
    <w:rsid w:val="0011353F"/>
    <w:rsid w:val="00114A3C"/>
    <w:rsid w:val="00121520"/>
    <w:rsid w:val="00123498"/>
    <w:rsid w:val="001237AD"/>
    <w:rsid w:val="00124469"/>
    <w:rsid w:val="00127742"/>
    <w:rsid w:val="001315AF"/>
    <w:rsid w:val="001341B8"/>
    <w:rsid w:val="00134690"/>
    <w:rsid w:val="00134A4E"/>
    <w:rsid w:val="0013556C"/>
    <w:rsid w:val="0013592B"/>
    <w:rsid w:val="00135DB9"/>
    <w:rsid w:val="00136071"/>
    <w:rsid w:val="00136536"/>
    <w:rsid w:val="001369CB"/>
    <w:rsid w:val="00137B89"/>
    <w:rsid w:val="00137BF0"/>
    <w:rsid w:val="00140A4C"/>
    <w:rsid w:val="00142279"/>
    <w:rsid w:val="00142C36"/>
    <w:rsid w:val="0014701B"/>
    <w:rsid w:val="0014781B"/>
    <w:rsid w:val="001513F8"/>
    <w:rsid w:val="001550FB"/>
    <w:rsid w:val="00160157"/>
    <w:rsid w:val="00160919"/>
    <w:rsid w:val="001615EC"/>
    <w:rsid w:val="0016182F"/>
    <w:rsid w:val="00161F2E"/>
    <w:rsid w:val="001641F2"/>
    <w:rsid w:val="001668B5"/>
    <w:rsid w:val="001703E9"/>
    <w:rsid w:val="00171115"/>
    <w:rsid w:val="00172842"/>
    <w:rsid w:val="00176B17"/>
    <w:rsid w:val="00181C7B"/>
    <w:rsid w:val="00184B51"/>
    <w:rsid w:val="00194A30"/>
    <w:rsid w:val="00197870"/>
    <w:rsid w:val="001A056B"/>
    <w:rsid w:val="001A2715"/>
    <w:rsid w:val="001A6EDE"/>
    <w:rsid w:val="001A7012"/>
    <w:rsid w:val="001A7956"/>
    <w:rsid w:val="001B0808"/>
    <w:rsid w:val="001B0BEC"/>
    <w:rsid w:val="001B244A"/>
    <w:rsid w:val="001B51C8"/>
    <w:rsid w:val="001C00E8"/>
    <w:rsid w:val="001C283A"/>
    <w:rsid w:val="001C2DF8"/>
    <w:rsid w:val="001C4E94"/>
    <w:rsid w:val="001C61F7"/>
    <w:rsid w:val="001C74B9"/>
    <w:rsid w:val="001D16A5"/>
    <w:rsid w:val="001D527C"/>
    <w:rsid w:val="001D725B"/>
    <w:rsid w:val="001D7DE4"/>
    <w:rsid w:val="001E48EB"/>
    <w:rsid w:val="001E59D2"/>
    <w:rsid w:val="001E6D41"/>
    <w:rsid w:val="001E7869"/>
    <w:rsid w:val="001F0480"/>
    <w:rsid w:val="001F22A8"/>
    <w:rsid w:val="001F2FB6"/>
    <w:rsid w:val="001F40D0"/>
    <w:rsid w:val="001F47F9"/>
    <w:rsid w:val="001F5A9D"/>
    <w:rsid w:val="001F6FB4"/>
    <w:rsid w:val="001F7451"/>
    <w:rsid w:val="001F7D7B"/>
    <w:rsid w:val="00201701"/>
    <w:rsid w:val="00202C93"/>
    <w:rsid w:val="00202D70"/>
    <w:rsid w:val="00204044"/>
    <w:rsid w:val="00204E0B"/>
    <w:rsid w:val="00205248"/>
    <w:rsid w:val="00205EDC"/>
    <w:rsid w:val="00206564"/>
    <w:rsid w:val="00207767"/>
    <w:rsid w:val="0021091D"/>
    <w:rsid w:val="00210A56"/>
    <w:rsid w:val="00211029"/>
    <w:rsid w:val="0021116C"/>
    <w:rsid w:val="00213ED1"/>
    <w:rsid w:val="002159B0"/>
    <w:rsid w:val="00215AE6"/>
    <w:rsid w:val="00217562"/>
    <w:rsid w:val="002179E8"/>
    <w:rsid w:val="00220F6A"/>
    <w:rsid w:val="00221A65"/>
    <w:rsid w:val="00223029"/>
    <w:rsid w:val="00224599"/>
    <w:rsid w:val="00226154"/>
    <w:rsid w:val="00226995"/>
    <w:rsid w:val="002342DC"/>
    <w:rsid w:val="002353AB"/>
    <w:rsid w:val="002405F9"/>
    <w:rsid w:val="00242187"/>
    <w:rsid w:val="00242FAD"/>
    <w:rsid w:val="00244CF1"/>
    <w:rsid w:val="0024536B"/>
    <w:rsid w:val="0024584F"/>
    <w:rsid w:val="00252A1B"/>
    <w:rsid w:val="00253E41"/>
    <w:rsid w:val="00254527"/>
    <w:rsid w:val="002545A5"/>
    <w:rsid w:val="00254BC1"/>
    <w:rsid w:val="002551F9"/>
    <w:rsid w:val="002559E8"/>
    <w:rsid w:val="002573FB"/>
    <w:rsid w:val="00262632"/>
    <w:rsid w:val="00265112"/>
    <w:rsid w:val="00270DB0"/>
    <w:rsid w:val="00270FD8"/>
    <w:rsid w:val="00272EAE"/>
    <w:rsid w:val="0027326E"/>
    <w:rsid w:val="00275697"/>
    <w:rsid w:val="002800CF"/>
    <w:rsid w:val="00280237"/>
    <w:rsid w:val="0028023F"/>
    <w:rsid w:val="00282406"/>
    <w:rsid w:val="00284A08"/>
    <w:rsid w:val="00284C4D"/>
    <w:rsid w:val="00286065"/>
    <w:rsid w:val="00292218"/>
    <w:rsid w:val="002930E4"/>
    <w:rsid w:val="0029377C"/>
    <w:rsid w:val="002945AE"/>
    <w:rsid w:val="00295CDD"/>
    <w:rsid w:val="00297B46"/>
    <w:rsid w:val="002A1F49"/>
    <w:rsid w:val="002A28C0"/>
    <w:rsid w:val="002A4593"/>
    <w:rsid w:val="002A46BD"/>
    <w:rsid w:val="002B06CD"/>
    <w:rsid w:val="002B2B29"/>
    <w:rsid w:val="002B64BF"/>
    <w:rsid w:val="002B791B"/>
    <w:rsid w:val="002C4021"/>
    <w:rsid w:val="002C42E0"/>
    <w:rsid w:val="002C60A9"/>
    <w:rsid w:val="002C7886"/>
    <w:rsid w:val="002C7A77"/>
    <w:rsid w:val="002D1F7A"/>
    <w:rsid w:val="002D2092"/>
    <w:rsid w:val="002D4781"/>
    <w:rsid w:val="002D63D6"/>
    <w:rsid w:val="002F07A9"/>
    <w:rsid w:val="002F1DB8"/>
    <w:rsid w:val="002F507D"/>
    <w:rsid w:val="002F5FB7"/>
    <w:rsid w:val="00305CC5"/>
    <w:rsid w:val="003062CA"/>
    <w:rsid w:val="0030697A"/>
    <w:rsid w:val="00314860"/>
    <w:rsid w:val="00315BA0"/>
    <w:rsid w:val="00315E22"/>
    <w:rsid w:val="003165FB"/>
    <w:rsid w:val="0032281F"/>
    <w:rsid w:val="00325B78"/>
    <w:rsid w:val="003261A8"/>
    <w:rsid w:val="00331A13"/>
    <w:rsid w:val="00332FF1"/>
    <w:rsid w:val="00334423"/>
    <w:rsid w:val="003356FA"/>
    <w:rsid w:val="00343201"/>
    <w:rsid w:val="0034526A"/>
    <w:rsid w:val="003456AF"/>
    <w:rsid w:val="00345F94"/>
    <w:rsid w:val="00346DEB"/>
    <w:rsid w:val="003507A0"/>
    <w:rsid w:val="00351F59"/>
    <w:rsid w:val="00352114"/>
    <w:rsid w:val="00352AFA"/>
    <w:rsid w:val="003531D4"/>
    <w:rsid w:val="00353674"/>
    <w:rsid w:val="003546F2"/>
    <w:rsid w:val="00355F43"/>
    <w:rsid w:val="00363AEE"/>
    <w:rsid w:val="00365C24"/>
    <w:rsid w:val="00366730"/>
    <w:rsid w:val="00370247"/>
    <w:rsid w:val="00370946"/>
    <w:rsid w:val="003718C2"/>
    <w:rsid w:val="003748B7"/>
    <w:rsid w:val="00374C04"/>
    <w:rsid w:val="00375261"/>
    <w:rsid w:val="003760A5"/>
    <w:rsid w:val="00377A03"/>
    <w:rsid w:val="00380862"/>
    <w:rsid w:val="00382420"/>
    <w:rsid w:val="003842F6"/>
    <w:rsid w:val="0038626B"/>
    <w:rsid w:val="00387367"/>
    <w:rsid w:val="0038745A"/>
    <w:rsid w:val="00393A53"/>
    <w:rsid w:val="00393DC4"/>
    <w:rsid w:val="003A0B30"/>
    <w:rsid w:val="003A3103"/>
    <w:rsid w:val="003A4141"/>
    <w:rsid w:val="003A4A35"/>
    <w:rsid w:val="003A7F49"/>
    <w:rsid w:val="003B1A47"/>
    <w:rsid w:val="003B207F"/>
    <w:rsid w:val="003B32FB"/>
    <w:rsid w:val="003B4664"/>
    <w:rsid w:val="003B7704"/>
    <w:rsid w:val="003C03D7"/>
    <w:rsid w:val="003C12D4"/>
    <w:rsid w:val="003C1B07"/>
    <w:rsid w:val="003C1C02"/>
    <w:rsid w:val="003C373B"/>
    <w:rsid w:val="003C5F05"/>
    <w:rsid w:val="003C7581"/>
    <w:rsid w:val="003C77FF"/>
    <w:rsid w:val="003D0235"/>
    <w:rsid w:val="003D1ED9"/>
    <w:rsid w:val="003D3EEE"/>
    <w:rsid w:val="003E1B46"/>
    <w:rsid w:val="003E1BB1"/>
    <w:rsid w:val="003E2634"/>
    <w:rsid w:val="003E2AE0"/>
    <w:rsid w:val="003E3BD0"/>
    <w:rsid w:val="003E55E5"/>
    <w:rsid w:val="003E579D"/>
    <w:rsid w:val="003E5C30"/>
    <w:rsid w:val="003E60A6"/>
    <w:rsid w:val="003E6D93"/>
    <w:rsid w:val="003E6DE1"/>
    <w:rsid w:val="004006A0"/>
    <w:rsid w:val="00400BA8"/>
    <w:rsid w:val="00403C19"/>
    <w:rsid w:val="00406E55"/>
    <w:rsid w:val="004117C6"/>
    <w:rsid w:val="004128C9"/>
    <w:rsid w:val="004148C8"/>
    <w:rsid w:val="00414A30"/>
    <w:rsid w:val="00415B68"/>
    <w:rsid w:val="00420F7C"/>
    <w:rsid w:val="004218E0"/>
    <w:rsid w:val="00422354"/>
    <w:rsid w:val="00423600"/>
    <w:rsid w:val="004236FC"/>
    <w:rsid w:val="0042396C"/>
    <w:rsid w:val="004245FF"/>
    <w:rsid w:val="00424F81"/>
    <w:rsid w:val="00426B75"/>
    <w:rsid w:val="0042727A"/>
    <w:rsid w:val="0043739A"/>
    <w:rsid w:val="0044089D"/>
    <w:rsid w:val="004408ED"/>
    <w:rsid w:val="00440C57"/>
    <w:rsid w:val="00441043"/>
    <w:rsid w:val="00445872"/>
    <w:rsid w:val="004459B1"/>
    <w:rsid w:val="00447714"/>
    <w:rsid w:val="0045098B"/>
    <w:rsid w:val="00450E6F"/>
    <w:rsid w:val="004516D3"/>
    <w:rsid w:val="00453BAE"/>
    <w:rsid w:val="0045543E"/>
    <w:rsid w:val="00457EC4"/>
    <w:rsid w:val="004602E0"/>
    <w:rsid w:val="00460D05"/>
    <w:rsid w:val="00463791"/>
    <w:rsid w:val="004643FB"/>
    <w:rsid w:val="00464465"/>
    <w:rsid w:val="00465975"/>
    <w:rsid w:val="0046727C"/>
    <w:rsid w:val="00472CD9"/>
    <w:rsid w:val="0047362C"/>
    <w:rsid w:val="0047414C"/>
    <w:rsid w:val="004758C5"/>
    <w:rsid w:val="00476325"/>
    <w:rsid w:val="00477437"/>
    <w:rsid w:val="00482BB5"/>
    <w:rsid w:val="00485CFB"/>
    <w:rsid w:val="00485ED4"/>
    <w:rsid w:val="0048655A"/>
    <w:rsid w:val="0049029D"/>
    <w:rsid w:val="00493113"/>
    <w:rsid w:val="004938B7"/>
    <w:rsid w:val="0049463B"/>
    <w:rsid w:val="00494D84"/>
    <w:rsid w:val="004965B5"/>
    <w:rsid w:val="004A0849"/>
    <w:rsid w:val="004A27D0"/>
    <w:rsid w:val="004A4A27"/>
    <w:rsid w:val="004B6335"/>
    <w:rsid w:val="004B64D6"/>
    <w:rsid w:val="004B7118"/>
    <w:rsid w:val="004B7714"/>
    <w:rsid w:val="004C01C7"/>
    <w:rsid w:val="004C1387"/>
    <w:rsid w:val="004C1DC8"/>
    <w:rsid w:val="004C45B2"/>
    <w:rsid w:val="004C5368"/>
    <w:rsid w:val="004C62F4"/>
    <w:rsid w:val="004D172D"/>
    <w:rsid w:val="004D1FDB"/>
    <w:rsid w:val="004D224E"/>
    <w:rsid w:val="004D2A71"/>
    <w:rsid w:val="004D4FCB"/>
    <w:rsid w:val="004D5BF9"/>
    <w:rsid w:val="004D611F"/>
    <w:rsid w:val="004E18C3"/>
    <w:rsid w:val="004E2339"/>
    <w:rsid w:val="004E26E6"/>
    <w:rsid w:val="004E3560"/>
    <w:rsid w:val="004E60BF"/>
    <w:rsid w:val="004E761E"/>
    <w:rsid w:val="004E7C6D"/>
    <w:rsid w:val="004F183A"/>
    <w:rsid w:val="004F201F"/>
    <w:rsid w:val="004F28F2"/>
    <w:rsid w:val="004F31CD"/>
    <w:rsid w:val="004F5970"/>
    <w:rsid w:val="004F7D3D"/>
    <w:rsid w:val="0050018B"/>
    <w:rsid w:val="00502E91"/>
    <w:rsid w:val="005049FD"/>
    <w:rsid w:val="005050B3"/>
    <w:rsid w:val="00506098"/>
    <w:rsid w:val="005076C8"/>
    <w:rsid w:val="00510448"/>
    <w:rsid w:val="00513385"/>
    <w:rsid w:val="0051449F"/>
    <w:rsid w:val="00514D9A"/>
    <w:rsid w:val="005209DB"/>
    <w:rsid w:val="0052106A"/>
    <w:rsid w:val="005217F5"/>
    <w:rsid w:val="00524511"/>
    <w:rsid w:val="00525383"/>
    <w:rsid w:val="00525F06"/>
    <w:rsid w:val="00527D85"/>
    <w:rsid w:val="005302DA"/>
    <w:rsid w:val="00532553"/>
    <w:rsid w:val="00536477"/>
    <w:rsid w:val="00536C1A"/>
    <w:rsid w:val="00536CC6"/>
    <w:rsid w:val="00537095"/>
    <w:rsid w:val="0054328B"/>
    <w:rsid w:val="00544E42"/>
    <w:rsid w:val="00544FEE"/>
    <w:rsid w:val="00545D62"/>
    <w:rsid w:val="00545E86"/>
    <w:rsid w:val="00546254"/>
    <w:rsid w:val="0054679B"/>
    <w:rsid w:val="00546A31"/>
    <w:rsid w:val="0055010D"/>
    <w:rsid w:val="0055065C"/>
    <w:rsid w:val="00551CAB"/>
    <w:rsid w:val="00552D1F"/>
    <w:rsid w:val="00553346"/>
    <w:rsid w:val="00563572"/>
    <w:rsid w:val="00572690"/>
    <w:rsid w:val="00573E67"/>
    <w:rsid w:val="005740B7"/>
    <w:rsid w:val="005749C5"/>
    <w:rsid w:val="00576034"/>
    <w:rsid w:val="00576323"/>
    <w:rsid w:val="005768FB"/>
    <w:rsid w:val="00580E3A"/>
    <w:rsid w:val="00583B29"/>
    <w:rsid w:val="00583FC2"/>
    <w:rsid w:val="00591344"/>
    <w:rsid w:val="00591B5B"/>
    <w:rsid w:val="0059319B"/>
    <w:rsid w:val="00594AFF"/>
    <w:rsid w:val="005A38E0"/>
    <w:rsid w:val="005A4877"/>
    <w:rsid w:val="005A5DA0"/>
    <w:rsid w:val="005B1A19"/>
    <w:rsid w:val="005B2BC5"/>
    <w:rsid w:val="005B4485"/>
    <w:rsid w:val="005B5046"/>
    <w:rsid w:val="005B7A1B"/>
    <w:rsid w:val="005C15B9"/>
    <w:rsid w:val="005C1F75"/>
    <w:rsid w:val="005C30F6"/>
    <w:rsid w:val="005C3188"/>
    <w:rsid w:val="005C3810"/>
    <w:rsid w:val="005C6F10"/>
    <w:rsid w:val="005D29B5"/>
    <w:rsid w:val="005D3191"/>
    <w:rsid w:val="005D35F9"/>
    <w:rsid w:val="005D5483"/>
    <w:rsid w:val="005D7B1B"/>
    <w:rsid w:val="005D7D8A"/>
    <w:rsid w:val="005E17F7"/>
    <w:rsid w:val="005E4252"/>
    <w:rsid w:val="005F09D9"/>
    <w:rsid w:val="005F29FB"/>
    <w:rsid w:val="005F362D"/>
    <w:rsid w:val="005F3FE3"/>
    <w:rsid w:val="005F439F"/>
    <w:rsid w:val="005F4D6C"/>
    <w:rsid w:val="005F54BD"/>
    <w:rsid w:val="005F7101"/>
    <w:rsid w:val="0060240F"/>
    <w:rsid w:val="00602DCE"/>
    <w:rsid w:val="00603427"/>
    <w:rsid w:val="00604B85"/>
    <w:rsid w:val="00605178"/>
    <w:rsid w:val="006067AD"/>
    <w:rsid w:val="006074F5"/>
    <w:rsid w:val="006103D3"/>
    <w:rsid w:val="006151F4"/>
    <w:rsid w:val="00617DD8"/>
    <w:rsid w:val="0062033E"/>
    <w:rsid w:val="00620699"/>
    <w:rsid w:val="00621691"/>
    <w:rsid w:val="00630730"/>
    <w:rsid w:val="00631E18"/>
    <w:rsid w:val="00632BA8"/>
    <w:rsid w:val="00640B6F"/>
    <w:rsid w:val="00640C63"/>
    <w:rsid w:val="006412EA"/>
    <w:rsid w:val="00642AF4"/>
    <w:rsid w:val="0064430C"/>
    <w:rsid w:val="006519FA"/>
    <w:rsid w:val="00652D6C"/>
    <w:rsid w:val="00652EC6"/>
    <w:rsid w:val="00653FE3"/>
    <w:rsid w:val="0065429E"/>
    <w:rsid w:val="00654A5F"/>
    <w:rsid w:val="0065585F"/>
    <w:rsid w:val="00656D1F"/>
    <w:rsid w:val="00660C58"/>
    <w:rsid w:val="006612B5"/>
    <w:rsid w:val="00664F96"/>
    <w:rsid w:val="0067176F"/>
    <w:rsid w:val="0067342D"/>
    <w:rsid w:val="00675EAE"/>
    <w:rsid w:val="00680016"/>
    <w:rsid w:val="00681AB9"/>
    <w:rsid w:val="00681D06"/>
    <w:rsid w:val="00681E86"/>
    <w:rsid w:val="006847D2"/>
    <w:rsid w:val="0069326B"/>
    <w:rsid w:val="0069355C"/>
    <w:rsid w:val="0069650D"/>
    <w:rsid w:val="006966FE"/>
    <w:rsid w:val="006A136C"/>
    <w:rsid w:val="006A1BC2"/>
    <w:rsid w:val="006A1E9C"/>
    <w:rsid w:val="006A641E"/>
    <w:rsid w:val="006A6FE0"/>
    <w:rsid w:val="006B19FE"/>
    <w:rsid w:val="006B1BB5"/>
    <w:rsid w:val="006B4570"/>
    <w:rsid w:val="006B5850"/>
    <w:rsid w:val="006B7C98"/>
    <w:rsid w:val="006C0EFB"/>
    <w:rsid w:val="006C4CAF"/>
    <w:rsid w:val="006C5FD1"/>
    <w:rsid w:val="006D47A8"/>
    <w:rsid w:val="006D700E"/>
    <w:rsid w:val="006D7108"/>
    <w:rsid w:val="006D75DB"/>
    <w:rsid w:val="006E0ED2"/>
    <w:rsid w:val="006E1E0B"/>
    <w:rsid w:val="006E3072"/>
    <w:rsid w:val="006E3868"/>
    <w:rsid w:val="006E58D6"/>
    <w:rsid w:val="006E5A72"/>
    <w:rsid w:val="006E6029"/>
    <w:rsid w:val="006E6A0B"/>
    <w:rsid w:val="006E7585"/>
    <w:rsid w:val="006F1679"/>
    <w:rsid w:val="006F1C0F"/>
    <w:rsid w:val="00700AB5"/>
    <w:rsid w:val="007027DE"/>
    <w:rsid w:val="007028E0"/>
    <w:rsid w:val="0070455F"/>
    <w:rsid w:val="00704CA4"/>
    <w:rsid w:val="007073A0"/>
    <w:rsid w:val="0071119B"/>
    <w:rsid w:val="0071138B"/>
    <w:rsid w:val="00711E41"/>
    <w:rsid w:val="00713180"/>
    <w:rsid w:val="00715088"/>
    <w:rsid w:val="00715418"/>
    <w:rsid w:val="007220F0"/>
    <w:rsid w:val="00723192"/>
    <w:rsid w:val="007236B0"/>
    <w:rsid w:val="0072772B"/>
    <w:rsid w:val="00727EE8"/>
    <w:rsid w:val="00731AB8"/>
    <w:rsid w:val="00731B16"/>
    <w:rsid w:val="00732364"/>
    <w:rsid w:val="00732E3F"/>
    <w:rsid w:val="00733377"/>
    <w:rsid w:val="00736312"/>
    <w:rsid w:val="00736358"/>
    <w:rsid w:val="0074007E"/>
    <w:rsid w:val="00741C21"/>
    <w:rsid w:val="007473E1"/>
    <w:rsid w:val="007474A5"/>
    <w:rsid w:val="0074786E"/>
    <w:rsid w:val="00751D43"/>
    <w:rsid w:val="0075230E"/>
    <w:rsid w:val="00753334"/>
    <w:rsid w:val="007549FC"/>
    <w:rsid w:val="00754A23"/>
    <w:rsid w:val="00761D87"/>
    <w:rsid w:val="007648FE"/>
    <w:rsid w:val="00764AD0"/>
    <w:rsid w:val="0076539C"/>
    <w:rsid w:val="00765B73"/>
    <w:rsid w:val="00767B66"/>
    <w:rsid w:val="00767B8E"/>
    <w:rsid w:val="00771682"/>
    <w:rsid w:val="00774A8E"/>
    <w:rsid w:val="00776412"/>
    <w:rsid w:val="0077717F"/>
    <w:rsid w:val="00777855"/>
    <w:rsid w:val="00777FD1"/>
    <w:rsid w:val="00781172"/>
    <w:rsid w:val="007825EB"/>
    <w:rsid w:val="007836CB"/>
    <w:rsid w:val="00783746"/>
    <w:rsid w:val="00784D8C"/>
    <w:rsid w:val="00786162"/>
    <w:rsid w:val="00786173"/>
    <w:rsid w:val="0078675C"/>
    <w:rsid w:val="00790ACC"/>
    <w:rsid w:val="007918A6"/>
    <w:rsid w:val="00791903"/>
    <w:rsid w:val="007929BB"/>
    <w:rsid w:val="00792D75"/>
    <w:rsid w:val="00795AD3"/>
    <w:rsid w:val="00796614"/>
    <w:rsid w:val="00797DA6"/>
    <w:rsid w:val="007A11CF"/>
    <w:rsid w:val="007A325C"/>
    <w:rsid w:val="007A60E0"/>
    <w:rsid w:val="007A7192"/>
    <w:rsid w:val="007B1D1A"/>
    <w:rsid w:val="007B3F5F"/>
    <w:rsid w:val="007B4816"/>
    <w:rsid w:val="007B49DA"/>
    <w:rsid w:val="007B5475"/>
    <w:rsid w:val="007C0D98"/>
    <w:rsid w:val="007C57E0"/>
    <w:rsid w:val="007D0DA0"/>
    <w:rsid w:val="007D1038"/>
    <w:rsid w:val="007D2476"/>
    <w:rsid w:val="007D3262"/>
    <w:rsid w:val="007D6CDC"/>
    <w:rsid w:val="007E3534"/>
    <w:rsid w:val="007E59EF"/>
    <w:rsid w:val="007E635C"/>
    <w:rsid w:val="007F0828"/>
    <w:rsid w:val="007F194E"/>
    <w:rsid w:val="007F3268"/>
    <w:rsid w:val="007F53B1"/>
    <w:rsid w:val="007F5B58"/>
    <w:rsid w:val="0080122B"/>
    <w:rsid w:val="00801A35"/>
    <w:rsid w:val="00801E3C"/>
    <w:rsid w:val="008053F4"/>
    <w:rsid w:val="008070F5"/>
    <w:rsid w:val="0081018D"/>
    <w:rsid w:val="0081284E"/>
    <w:rsid w:val="008140BF"/>
    <w:rsid w:val="008161F4"/>
    <w:rsid w:val="0081656B"/>
    <w:rsid w:val="00816CAA"/>
    <w:rsid w:val="00820511"/>
    <w:rsid w:val="008226C8"/>
    <w:rsid w:val="0083126B"/>
    <w:rsid w:val="00834D70"/>
    <w:rsid w:val="00836365"/>
    <w:rsid w:val="008371BF"/>
    <w:rsid w:val="00837443"/>
    <w:rsid w:val="0084060F"/>
    <w:rsid w:val="00842FB8"/>
    <w:rsid w:val="008431A7"/>
    <w:rsid w:val="008448DB"/>
    <w:rsid w:val="008462CE"/>
    <w:rsid w:val="0084664E"/>
    <w:rsid w:val="00851797"/>
    <w:rsid w:val="00856D99"/>
    <w:rsid w:val="00861319"/>
    <w:rsid w:val="0086191B"/>
    <w:rsid w:val="008635D4"/>
    <w:rsid w:val="00864EAA"/>
    <w:rsid w:val="00865C67"/>
    <w:rsid w:val="00870ADF"/>
    <w:rsid w:val="00871BA3"/>
    <w:rsid w:val="0087245B"/>
    <w:rsid w:val="00872628"/>
    <w:rsid w:val="00872A1E"/>
    <w:rsid w:val="00872F94"/>
    <w:rsid w:val="00875DD0"/>
    <w:rsid w:val="008817B2"/>
    <w:rsid w:val="0088563D"/>
    <w:rsid w:val="00885797"/>
    <w:rsid w:val="0088753F"/>
    <w:rsid w:val="008925CC"/>
    <w:rsid w:val="00893EAD"/>
    <w:rsid w:val="008A0EC5"/>
    <w:rsid w:val="008A1A6D"/>
    <w:rsid w:val="008A1EA1"/>
    <w:rsid w:val="008A49D6"/>
    <w:rsid w:val="008A5A1A"/>
    <w:rsid w:val="008A6FF4"/>
    <w:rsid w:val="008B1843"/>
    <w:rsid w:val="008B4214"/>
    <w:rsid w:val="008B4767"/>
    <w:rsid w:val="008B4F91"/>
    <w:rsid w:val="008B64C7"/>
    <w:rsid w:val="008C1271"/>
    <w:rsid w:val="008C4074"/>
    <w:rsid w:val="008C4411"/>
    <w:rsid w:val="008C4B03"/>
    <w:rsid w:val="008C6F85"/>
    <w:rsid w:val="008C73DB"/>
    <w:rsid w:val="008C76AE"/>
    <w:rsid w:val="008C7AFF"/>
    <w:rsid w:val="008D1048"/>
    <w:rsid w:val="008D41EE"/>
    <w:rsid w:val="008D69CD"/>
    <w:rsid w:val="008D7054"/>
    <w:rsid w:val="008D7F0E"/>
    <w:rsid w:val="008E0207"/>
    <w:rsid w:val="008E1316"/>
    <w:rsid w:val="008E3FA4"/>
    <w:rsid w:val="008E5152"/>
    <w:rsid w:val="008E58FE"/>
    <w:rsid w:val="008F1796"/>
    <w:rsid w:val="008F3FFB"/>
    <w:rsid w:val="008F4176"/>
    <w:rsid w:val="008F59F2"/>
    <w:rsid w:val="008F6069"/>
    <w:rsid w:val="008F6886"/>
    <w:rsid w:val="008F7292"/>
    <w:rsid w:val="00902F9F"/>
    <w:rsid w:val="00903083"/>
    <w:rsid w:val="009035A9"/>
    <w:rsid w:val="0090752B"/>
    <w:rsid w:val="009107CC"/>
    <w:rsid w:val="00912CD9"/>
    <w:rsid w:val="009133BE"/>
    <w:rsid w:val="0091383C"/>
    <w:rsid w:val="0091758A"/>
    <w:rsid w:val="00917BD2"/>
    <w:rsid w:val="00920502"/>
    <w:rsid w:val="00925156"/>
    <w:rsid w:val="00925284"/>
    <w:rsid w:val="009263E0"/>
    <w:rsid w:val="00931D9F"/>
    <w:rsid w:val="0093271F"/>
    <w:rsid w:val="009339A2"/>
    <w:rsid w:val="00933C19"/>
    <w:rsid w:val="00935F41"/>
    <w:rsid w:val="00936BAA"/>
    <w:rsid w:val="00936FB7"/>
    <w:rsid w:val="009401CB"/>
    <w:rsid w:val="00940752"/>
    <w:rsid w:val="00940D85"/>
    <w:rsid w:val="00942082"/>
    <w:rsid w:val="00944A53"/>
    <w:rsid w:val="0094601E"/>
    <w:rsid w:val="00946249"/>
    <w:rsid w:val="00946474"/>
    <w:rsid w:val="009466B6"/>
    <w:rsid w:val="00950397"/>
    <w:rsid w:val="009525FD"/>
    <w:rsid w:val="00954238"/>
    <w:rsid w:val="0096369F"/>
    <w:rsid w:val="00964B35"/>
    <w:rsid w:val="0096649E"/>
    <w:rsid w:val="009711B7"/>
    <w:rsid w:val="00972D7E"/>
    <w:rsid w:val="00974FDA"/>
    <w:rsid w:val="009758A1"/>
    <w:rsid w:val="00977FC4"/>
    <w:rsid w:val="00980257"/>
    <w:rsid w:val="00980534"/>
    <w:rsid w:val="00982422"/>
    <w:rsid w:val="009824FF"/>
    <w:rsid w:val="00983007"/>
    <w:rsid w:val="0098550F"/>
    <w:rsid w:val="009879C9"/>
    <w:rsid w:val="00987B4C"/>
    <w:rsid w:val="0099155B"/>
    <w:rsid w:val="0099219E"/>
    <w:rsid w:val="009937FA"/>
    <w:rsid w:val="00997D2E"/>
    <w:rsid w:val="009A52B8"/>
    <w:rsid w:val="009A6669"/>
    <w:rsid w:val="009A74E3"/>
    <w:rsid w:val="009A764C"/>
    <w:rsid w:val="009A7C82"/>
    <w:rsid w:val="009B095B"/>
    <w:rsid w:val="009B1FF6"/>
    <w:rsid w:val="009B35A9"/>
    <w:rsid w:val="009B407A"/>
    <w:rsid w:val="009B47F6"/>
    <w:rsid w:val="009C1204"/>
    <w:rsid w:val="009C2A1E"/>
    <w:rsid w:val="009C4C1B"/>
    <w:rsid w:val="009C7496"/>
    <w:rsid w:val="009C7F60"/>
    <w:rsid w:val="009D2939"/>
    <w:rsid w:val="009D36E0"/>
    <w:rsid w:val="009D373D"/>
    <w:rsid w:val="009D424A"/>
    <w:rsid w:val="009D42DE"/>
    <w:rsid w:val="009D517D"/>
    <w:rsid w:val="009E0519"/>
    <w:rsid w:val="009E152E"/>
    <w:rsid w:val="009E3EF4"/>
    <w:rsid w:val="009E478C"/>
    <w:rsid w:val="009E52B1"/>
    <w:rsid w:val="009E6B3E"/>
    <w:rsid w:val="009E6BBF"/>
    <w:rsid w:val="009F0172"/>
    <w:rsid w:val="009F1F2A"/>
    <w:rsid w:val="009F2244"/>
    <w:rsid w:val="009F5CA0"/>
    <w:rsid w:val="009F744A"/>
    <w:rsid w:val="00A00554"/>
    <w:rsid w:val="00A04C60"/>
    <w:rsid w:val="00A04EA3"/>
    <w:rsid w:val="00A07802"/>
    <w:rsid w:val="00A10196"/>
    <w:rsid w:val="00A10485"/>
    <w:rsid w:val="00A10BD5"/>
    <w:rsid w:val="00A12E18"/>
    <w:rsid w:val="00A13C63"/>
    <w:rsid w:val="00A17045"/>
    <w:rsid w:val="00A2063B"/>
    <w:rsid w:val="00A2243B"/>
    <w:rsid w:val="00A238C1"/>
    <w:rsid w:val="00A24A67"/>
    <w:rsid w:val="00A31073"/>
    <w:rsid w:val="00A31C35"/>
    <w:rsid w:val="00A32842"/>
    <w:rsid w:val="00A32850"/>
    <w:rsid w:val="00A41402"/>
    <w:rsid w:val="00A434B1"/>
    <w:rsid w:val="00A44595"/>
    <w:rsid w:val="00A51DFD"/>
    <w:rsid w:val="00A54FC8"/>
    <w:rsid w:val="00A55BFA"/>
    <w:rsid w:val="00A56467"/>
    <w:rsid w:val="00A56F36"/>
    <w:rsid w:val="00A60D09"/>
    <w:rsid w:val="00A61FF6"/>
    <w:rsid w:val="00A62ECA"/>
    <w:rsid w:val="00A64AB4"/>
    <w:rsid w:val="00A65805"/>
    <w:rsid w:val="00A65B5D"/>
    <w:rsid w:val="00A66F5A"/>
    <w:rsid w:val="00A70B0A"/>
    <w:rsid w:val="00A70EE3"/>
    <w:rsid w:val="00A72440"/>
    <w:rsid w:val="00A7274D"/>
    <w:rsid w:val="00A72B9A"/>
    <w:rsid w:val="00A768EA"/>
    <w:rsid w:val="00A777AA"/>
    <w:rsid w:val="00A81778"/>
    <w:rsid w:val="00A83046"/>
    <w:rsid w:val="00A8680F"/>
    <w:rsid w:val="00A874D8"/>
    <w:rsid w:val="00A94186"/>
    <w:rsid w:val="00A94A99"/>
    <w:rsid w:val="00A95851"/>
    <w:rsid w:val="00AA0D1F"/>
    <w:rsid w:val="00AA0E1C"/>
    <w:rsid w:val="00AA327A"/>
    <w:rsid w:val="00AA41ED"/>
    <w:rsid w:val="00AA6AAB"/>
    <w:rsid w:val="00AB047F"/>
    <w:rsid w:val="00AB160A"/>
    <w:rsid w:val="00AB18AF"/>
    <w:rsid w:val="00AB4279"/>
    <w:rsid w:val="00AB70EE"/>
    <w:rsid w:val="00AB7496"/>
    <w:rsid w:val="00AC01D6"/>
    <w:rsid w:val="00AC6B35"/>
    <w:rsid w:val="00AC72F7"/>
    <w:rsid w:val="00AC7BB5"/>
    <w:rsid w:val="00AD1D15"/>
    <w:rsid w:val="00AD274E"/>
    <w:rsid w:val="00AD48CD"/>
    <w:rsid w:val="00AD618B"/>
    <w:rsid w:val="00AD6F12"/>
    <w:rsid w:val="00AE0794"/>
    <w:rsid w:val="00AE709D"/>
    <w:rsid w:val="00AF1666"/>
    <w:rsid w:val="00AF511B"/>
    <w:rsid w:val="00AF5357"/>
    <w:rsid w:val="00B004D8"/>
    <w:rsid w:val="00B02BFF"/>
    <w:rsid w:val="00B04546"/>
    <w:rsid w:val="00B051B6"/>
    <w:rsid w:val="00B0665C"/>
    <w:rsid w:val="00B10089"/>
    <w:rsid w:val="00B10369"/>
    <w:rsid w:val="00B1110C"/>
    <w:rsid w:val="00B11451"/>
    <w:rsid w:val="00B132A0"/>
    <w:rsid w:val="00B13D33"/>
    <w:rsid w:val="00B13EE0"/>
    <w:rsid w:val="00B14B39"/>
    <w:rsid w:val="00B14D37"/>
    <w:rsid w:val="00B15F8A"/>
    <w:rsid w:val="00B16905"/>
    <w:rsid w:val="00B1694F"/>
    <w:rsid w:val="00B174D8"/>
    <w:rsid w:val="00B213EF"/>
    <w:rsid w:val="00B23788"/>
    <w:rsid w:val="00B23A57"/>
    <w:rsid w:val="00B26DF3"/>
    <w:rsid w:val="00B30DA1"/>
    <w:rsid w:val="00B33636"/>
    <w:rsid w:val="00B3494A"/>
    <w:rsid w:val="00B34C13"/>
    <w:rsid w:val="00B37BE6"/>
    <w:rsid w:val="00B41AAE"/>
    <w:rsid w:val="00B41B4D"/>
    <w:rsid w:val="00B43B99"/>
    <w:rsid w:val="00B51B58"/>
    <w:rsid w:val="00B53B6E"/>
    <w:rsid w:val="00B54BFA"/>
    <w:rsid w:val="00B55534"/>
    <w:rsid w:val="00B56D56"/>
    <w:rsid w:val="00B64684"/>
    <w:rsid w:val="00B71BDC"/>
    <w:rsid w:val="00B71C90"/>
    <w:rsid w:val="00B726BA"/>
    <w:rsid w:val="00B73583"/>
    <w:rsid w:val="00B74628"/>
    <w:rsid w:val="00B75BE3"/>
    <w:rsid w:val="00B75F01"/>
    <w:rsid w:val="00B76440"/>
    <w:rsid w:val="00B80522"/>
    <w:rsid w:val="00B80A86"/>
    <w:rsid w:val="00B81EBD"/>
    <w:rsid w:val="00B833A7"/>
    <w:rsid w:val="00B834E8"/>
    <w:rsid w:val="00B84B88"/>
    <w:rsid w:val="00B852CA"/>
    <w:rsid w:val="00B86CBD"/>
    <w:rsid w:val="00B877A3"/>
    <w:rsid w:val="00B914A1"/>
    <w:rsid w:val="00B924BB"/>
    <w:rsid w:val="00B93DF4"/>
    <w:rsid w:val="00B947E2"/>
    <w:rsid w:val="00B95633"/>
    <w:rsid w:val="00BA4455"/>
    <w:rsid w:val="00BA4798"/>
    <w:rsid w:val="00BA4B23"/>
    <w:rsid w:val="00BA4DAF"/>
    <w:rsid w:val="00BA5411"/>
    <w:rsid w:val="00BB233D"/>
    <w:rsid w:val="00BB5FAF"/>
    <w:rsid w:val="00BB7DC1"/>
    <w:rsid w:val="00BB7F73"/>
    <w:rsid w:val="00BC0062"/>
    <w:rsid w:val="00BC10AE"/>
    <w:rsid w:val="00BC3273"/>
    <w:rsid w:val="00BC4485"/>
    <w:rsid w:val="00BD07F6"/>
    <w:rsid w:val="00BD24F1"/>
    <w:rsid w:val="00BD78D6"/>
    <w:rsid w:val="00BE0DBB"/>
    <w:rsid w:val="00BE1511"/>
    <w:rsid w:val="00BF0F7C"/>
    <w:rsid w:val="00BF1AE9"/>
    <w:rsid w:val="00BF6838"/>
    <w:rsid w:val="00C0058E"/>
    <w:rsid w:val="00C0299C"/>
    <w:rsid w:val="00C03173"/>
    <w:rsid w:val="00C03906"/>
    <w:rsid w:val="00C06C60"/>
    <w:rsid w:val="00C10873"/>
    <w:rsid w:val="00C13D10"/>
    <w:rsid w:val="00C1448C"/>
    <w:rsid w:val="00C14C01"/>
    <w:rsid w:val="00C14F9A"/>
    <w:rsid w:val="00C16457"/>
    <w:rsid w:val="00C26E82"/>
    <w:rsid w:val="00C31209"/>
    <w:rsid w:val="00C314DA"/>
    <w:rsid w:val="00C365DE"/>
    <w:rsid w:val="00C37B42"/>
    <w:rsid w:val="00C41A5E"/>
    <w:rsid w:val="00C464BE"/>
    <w:rsid w:val="00C4783B"/>
    <w:rsid w:val="00C47D33"/>
    <w:rsid w:val="00C519C2"/>
    <w:rsid w:val="00C52299"/>
    <w:rsid w:val="00C528AD"/>
    <w:rsid w:val="00C56604"/>
    <w:rsid w:val="00C56CB9"/>
    <w:rsid w:val="00C570C1"/>
    <w:rsid w:val="00C6035B"/>
    <w:rsid w:val="00C62029"/>
    <w:rsid w:val="00C64C0B"/>
    <w:rsid w:val="00C650EB"/>
    <w:rsid w:val="00C66672"/>
    <w:rsid w:val="00C71C93"/>
    <w:rsid w:val="00C72298"/>
    <w:rsid w:val="00C7448F"/>
    <w:rsid w:val="00C74735"/>
    <w:rsid w:val="00C75222"/>
    <w:rsid w:val="00C83098"/>
    <w:rsid w:val="00C83FA2"/>
    <w:rsid w:val="00C8420D"/>
    <w:rsid w:val="00C84B7D"/>
    <w:rsid w:val="00C8781F"/>
    <w:rsid w:val="00C9068C"/>
    <w:rsid w:val="00C90F1E"/>
    <w:rsid w:val="00C947C8"/>
    <w:rsid w:val="00C95D3D"/>
    <w:rsid w:val="00C9623C"/>
    <w:rsid w:val="00C96273"/>
    <w:rsid w:val="00C96DBA"/>
    <w:rsid w:val="00CA0AFD"/>
    <w:rsid w:val="00CA4849"/>
    <w:rsid w:val="00CA5058"/>
    <w:rsid w:val="00CB148A"/>
    <w:rsid w:val="00CB3F80"/>
    <w:rsid w:val="00CB5DBA"/>
    <w:rsid w:val="00CB62F8"/>
    <w:rsid w:val="00CB6552"/>
    <w:rsid w:val="00CB6794"/>
    <w:rsid w:val="00CB7433"/>
    <w:rsid w:val="00CC3289"/>
    <w:rsid w:val="00CC73FC"/>
    <w:rsid w:val="00CC79A0"/>
    <w:rsid w:val="00CC79F7"/>
    <w:rsid w:val="00CC7B87"/>
    <w:rsid w:val="00CD068C"/>
    <w:rsid w:val="00CD0EFA"/>
    <w:rsid w:val="00CD1240"/>
    <w:rsid w:val="00CD6445"/>
    <w:rsid w:val="00CE0510"/>
    <w:rsid w:val="00CE1001"/>
    <w:rsid w:val="00CE226C"/>
    <w:rsid w:val="00CE2EDE"/>
    <w:rsid w:val="00CE6C2B"/>
    <w:rsid w:val="00CE7624"/>
    <w:rsid w:val="00CF3F76"/>
    <w:rsid w:val="00CF4887"/>
    <w:rsid w:val="00CF7172"/>
    <w:rsid w:val="00CF71B6"/>
    <w:rsid w:val="00D00675"/>
    <w:rsid w:val="00D009E6"/>
    <w:rsid w:val="00D02449"/>
    <w:rsid w:val="00D06319"/>
    <w:rsid w:val="00D06B4F"/>
    <w:rsid w:val="00D10DC5"/>
    <w:rsid w:val="00D138B8"/>
    <w:rsid w:val="00D154C6"/>
    <w:rsid w:val="00D155C8"/>
    <w:rsid w:val="00D21716"/>
    <w:rsid w:val="00D21BB4"/>
    <w:rsid w:val="00D2200E"/>
    <w:rsid w:val="00D22E99"/>
    <w:rsid w:val="00D23C41"/>
    <w:rsid w:val="00D26112"/>
    <w:rsid w:val="00D304BE"/>
    <w:rsid w:val="00D34F47"/>
    <w:rsid w:val="00D36B29"/>
    <w:rsid w:val="00D36B2F"/>
    <w:rsid w:val="00D40484"/>
    <w:rsid w:val="00D407CD"/>
    <w:rsid w:val="00D4090D"/>
    <w:rsid w:val="00D432A7"/>
    <w:rsid w:val="00D441A9"/>
    <w:rsid w:val="00D44C4E"/>
    <w:rsid w:val="00D44FF6"/>
    <w:rsid w:val="00D50297"/>
    <w:rsid w:val="00D50418"/>
    <w:rsid w:val="00D551CC"/>
    <w:rsid w:val="00D570CF"/>
    <w:rsid w:val="00D60153"/>
    <w:rsid w:val="00D67BD0"/>
    <w:rsid w:val="00D67F44"/>
    <w:rsid w:val="00D717A0"/>
    <w:rsid w:val="00D728CD"/>
    <w:rsid w:val="00D73009"/>
    <w:rsid w:val="00D74B15"/>
    <w:rsid w:val="00D82E6D"/>
    <w:rsid w:val="00D851EA"/>
    <w:rsid w:val="00D8680E"/>
    <w:rsid w:val="00D90CF4"/>
    <w:rsid w:val="00D91F39"/>
    <w:rsid w:val="00D931C1"/>
    <w:rsid w:val="00D93800"/>
    <w:rsid w:val="00D97225"/>
    <w:rsid w:val="00D974F7"/>
    <w:rsid w:val="00DA125F"/>
    <w:rsid w:val="00DA15DD"/>
    <w:rsid w:val="00DA1613"/>
    <w:rsid w:val="00DA6393"/>
    <w:rsid w:val="00DA6B87"/>
    <w:rsid w:val="00DB2208"/>
    <w:rsid w:val="00DB29A7"/>
    <w:rsid w:val="00DB2FA3"/>
    <w:rsid w:val="00DB2FCA"/>
    <w:rsid w:val="00DB30DD"/>
    <w:rsid w:val="00DB4BFE"/>
    <w:rsid w:val="00DB6F01"/>
    <w:rsid w:val="00DB71E9"/>
    <w:rsid w:val="00DC3101"/>
    <w:rsid w:val="00DC51B6"/>
    <w:rsid w:val="00DC5C7C"/>
    <w:rsid w:val="00DD0775"/>
    <w:rsid w:val="00DD1E3B"/>
    <w:rsid w:val="00DD26B3"/>
    <w:rsid w:val="00DD3491"/>
    <w:rsid w:val="00DD4CFD"/>
    <w:rsid w:val="00DD7B75"/>
    <w:rsid w:val="00DE0655"/>
    <w:rsid w:val="00DE0A7E"/>
    <w:rsid w:val="00DE1271"/>
    <w:rsid w:val="00DE1394"/>
    <w:rsid w:val="00DE534C"/>
    <w:rsid w:val="00DE7211"/>
    <w:rsid w:val="00DE752F"/>
    <w:rsid w:val="00DF130E"/>
    <w:rsid w:val="00DF156B"/>
    <w:rsid w:val="00DF1EFB"/>
    <w:rsid w:val="00DF313E"/>
    <w:rsid w:val="00DF3971"/>
    <w:rsid w:val="00DF39A3"/>
    <w:rsid w:val="00DF3AE1"/>
    <w:rsid w:val="00DF4922"/>
    <w:rsid w:val="00DF5840"/>
    <w:rsid w:val="00DF65F0"/>
    <w:rsid w:val="00DF69CD"/>
    <w:rsid w:val="00DF6C62"/>
    <w:rsid w:val="00DF7E85"/>
    <w:rsid w:val="00DF7F83"/>
    <w:rsid w:val="00E01454"/>
    <w:rsid w:val="00E02B63"/>
    <w:rsid w:val="00E0510D"/>
    <w:rsid w:val="00E05EF9"/>
    <w:rsid w:val="00E0790D"/>
    <w:rsid w:val="00E10787"/>
    <w:rsid w:val="00E10AF2"/>
    <w:rsid w:val="00E11DDC"/>
    <w:rsid w:val="00E14D48"/>
    <w:rsid w:val="00E1564B"/>
    <w:rsid w:val="00E15C51"/>
    <w:rsid w:val="00E20A8C"/>
    <w:rsid w:val="00E20BB6"/>
    <w:rsid w:val="00E21BB8"/>
    <w:rsid w:val="00E2391E"/>
    <w:rsid w:val="00E25D34"/>
    <w:rsid w:val="00E34FFD"/>
    <w:rsid w:val="00E41A95"/>
    <w:rsid w:val="00E427B7"/>
    <w:rsid w:val="00E42815"/>
    <w:rsid w:val="00E45F9C"/>
    <w:rsid w:val="00E46292"/>
    <w:rsid w:val="00E464D5"/>
    <w:rsid w:val="00E47347"/>
    <w:rsid w:val="00E51B1B"/>
    <w:rsid w:val="00E6010F"/>
    <w:rsid w:val="00E6046B"/>
    <w:rsid w:val="00E61669"/>
    <w:rsid w:val="00E61796"/>
    <w:rsid w:val="00E642A8"/>
    <w:rsid w:val="00E65B1D"/>
    <w:rsid w:val="00E666E2"/>
    <w:rsid w:val="00E67E8E"/>
    <w:rsid w:val="00E71A5A"/>
    <w:rsid w:val="00E730B5"/>
    <w:rsid w:val="00E74725"/>
    <w:rsid w:val="00E80EC4"/>
    <w:rsid w:val="00E81389"/>
    <w:rsid w:val="00E8273E"/>
    <w:rsid w:val="00E90D5A"/>
    <w:rsid w:val="00E90EA5"/>
    <w:rsid w:val="00E9384A"/>
    <w:rsid w:val="00E9490F"/>
    <w:rsid w:val="00E95782"/>
    <w:rsid w:val="00E96CFA"/>
    <w:rsid w:val="00EA0624"/>
    <w:rsid w:val="00EA1CC1"/>
    <w:rsid w:val="00EA3278"/>
    <w:rsid w:val="00EA502F"/>
    <w:rsid w:val="00EA6EE3"/>
    <w:rsid w:val="00EA72B9"/>
    <w:rsid w:val="00EA7839"/>
    <w:rsid w:val="00EB2D40"/>
    <w:rsid w:val="00EB33AA"/>
    <w:rsid w:val="00EB36D6"/>
    <w:rsid w:val="00EB4109"/>
    <w:rsid w:val="00EB6936"/>
    <w:rsid w:val="00EB6F9C"/>
    <w:rsid w:val="00EB7385"/>
    <w:rsid w:val="00EB74ED"/>
    <w:rsid w:val="00EB75CF"/>
    <w:rsid w:val="00EC0244"/>
    <w:rsid w:val="00EC42FC"/>
    <w:rsid w:val="00EC52DD"/>
    <w:rsid w:val="00EC5C57"/>
    <w:rsid w:val="00EC7079"/>
    <w:rsid w:val="00EC766C"/>
    <w:rsid w:val="00EC7ED0"/>
    <w:rsid w:val="00ED04A3"/>
    <w:rsid w:val="00ED1718"/>
    <w:rsid w:val="00ED1D24"/>
    <w:rsid w:val="00ED2D6D"/>
    <w:rsid w:val="00ED45A3"/>
    <w:rsid w:val="00ED52B8"/>
    <w:rsid w:val="00EE1C25"/>
    <w:rsid w:val="00EE3300"/>
    <w:rsid w:val="00EE6AEE"/>
    <w:rsid w:val="00EE7577"/>
    <w:rsid w:val="00EF067D"/>
    <w:rsid w:val="00EF0CDB"/>
    <w:rsid w:val="00EF1217"/>
    <w:rsid w:val="00EF12FA"/>
    <w:rsid w:val="00EF35FD"/>
    <w:rsid w:val="00EF6E4D"/>
    <w:rsid w:val="00EF7640"/>
    <w:rsid w:val="00EF7CF3"/>
    <w:rsid w:val="00F00954"/>
    <w:rsid w:val="00F01224"/>
    <w:rsid w:val="00F017D7"/>
    <w:rsid w:val="00F01A90"/>
    <w:rsid w:val="00F02D8A"/>
    <w:rsid w:val="00F057A6"/>
    <w:rsid w:val="00F1417F"/>
    <w:rsid w:val="00F16D3A"/>
    <w:rsid w:val="00F23A06"/>
    <w:rsid w:val="00F24D89"/>
    <w:rsid w:val="00F250B3"/>
    <w:rsid w:val="00F2541A"/>
    <w:rsid w:val="00F25C05"/>
    <w:rsid w:val="00F26CEA"/>
    <w:rsid w:val="00F26D2D"/>
    <w:rsid w:val="00F3371F"/>
    <w:rsid w:val="00F3504B"/>
    <w:rsid w:val="00F371B2"/>
    <w:rsid w:val="00F43FF0"/>
    <w:rsid w:val="00F44015"/>
    <w:rsid w:val="00F52AFD"/>
    <w:rsid w:val="00F53B6E"/>
    <w:rsid w:val="00F57509"/>
    <w:rsid w:val="00F575A9"/>
    <w:rsid w:val="00F57BA0"/>
    <w:rsid w:val="00F624AF"/>
    <w:rsid w:val="00F63783"/>
    <w:rsid w:val="00F65364"/>
    <w:rsid w:val="00F74FFC"/>
    <w:rsid w:val="00F75719"/>
    <w:rsid w:val="00F76F7C"/>
    <w:rsid w:val="00F81FDA"/>
    <w:rsid w:val="00F85DC0"/>
    <w:rsid w:val="00F909A9"/>
    <w:rsid w:val="00F923A9"/>
    <w:rsid w:val="00F92C71"/>
    <w:rsid w:val="00F9767B"/>
    <w:rsid w:val="00FA251F"/>
    <w:rsid w:val="00FA4F34"/>
    <w:rsid w:val="00FB155B"/>
    <w:rsid w:val="00FB2EB7"/>
    <w:rsid w:val="00FB39D3"/>
    <w:rsid w:val="00FB5482"/>
    <w:rsid w:val="00FB54E2"/>
    <w:rsid w:val="00FB7E07"/>
    <w:rsid w:val="00FC0CEC"/>
    <w:rsid w:val="00FC39D4"/>
    <w:rsid w:val="00FC42E7"/>
    <w:rsid w:val="00FC4954"/>
    <w:rsid w:val="00FC4FFF"/>
    <w:rsid w:val="00FC67AA"/>
    <w:rsid w:val="00FD078A"/>
    <w:rsid w:val="00FD243C"/>
    <w:rsid w:val="00FD3624"/>
    <w:rsid w:val="00FD40FD"/>
    <w:rsid w:val="00FD4B9C"/>
    <w:rsid w:val="00FD5EEF"/>
    <w:rsid w:val="00FD69C9"/>
    <w:rsid w:val="00FD6BC5"/>
    <w:rsid w:val="00FD78B2"/>
    <w:rsid w:val="00FE5E0E"/>
    <w:rsid w:val="00FE6A80"/>
    <w:rsid w:val="00FF2DBA"/>
    <w:rsid w:val="00FF3E99"/>
    <w:rsid w:val="00FF7485"/>
    <w:rsid w:val="013C3C76"/>
    <w:rsid w:val="01417BD1"/>
    <w:rsid w:val="01C37AE6"/>
    <w:rsid w:val="01E14093"/>
    <w:rsid w:val="02302C08"/>
    <w:rsid w:val="0234746C"/>
    <w:rsid w:val="023C3D01"/>
    <w:rsid w:val="02670C3F"/>
    <w:rsid w:val="02860895"/>
    <w:rsid w:val="02915E30"/>
    <w:rsid w:val="02A1027A"/>
    <w:rsid w:val="02AF50B6"/>
    <w:rsid w:val="02BA1F5F"/>
    <w:rsid w:val="02D3774B"/>
    <w:rsid w:val="039B6590"/>
    <w:rsid w:val="03D369DC"/>
    <w:rsid w:val="03F678CB"/>
    <w:rsid w:val="040C298A"/>
    <w:rsid w:val="0418359A"/>
    <w:rsid w:val="042C27E9"/>
    <w:rsid w:val="04593EF0"/>
    <w:rsid w:val="04646DAD"/>
    <w:rsid w:val="04B35125"/>
    <w:rsid w:val="05050554"/>
    <w:rsid w:val="05201F1D"/>
    <w:rsid w:val="05240645"/>
    <w:rsid w:val="05785D65"/>
    <w:rsid w:val="05801F47"/>
    <w:rsid w:val="058D2C88"/>
    <w:rsid w:val="05A374B8"/>
    <w:rsid w:val="05A96978"/>
    <w:rsid w:val="05FC13E0"/>
    <w:rsid w:val="06226795"/>
    <w:rsid w:val="06AA6C8E"/>
    <w:rsid w:val="06EC2A42"/>
    <w:rsid w:val="06FE06DA"/>
    <w:rsid w:val="07231CC1"/>
    <w:rsid w:val="074D040E"/>
    <w:rsid w:val="07830767"/>
    <w:rsid w:val="08600CAC"/>
    <w:rsid w:val="08AE5693"/>
    <w:rsid w:val="08E928E0"/>
    <w:rsid w:val="08FC31D7"/>
    <w:rsid w:val="09307791"/>
    <w:rsid w:val="094435EE"/>
    <w:rsid w:val="0944661E"/>
    <w:rsid w:val="09692F23"/>
    <w:rsid w:val="097C29B8"/>
    <w:rsid w:val="098B75EF"/>
    <w:rsid w:val="09A55364"/>
    <w:rsid w:val="09C67CA9"/>
    <w:rsid w:val="09F73728"/>
    <w:rsid w:val="0A780EA3"/>
    <w:rsid w:val="0AA20F4E"/>
    <w:rsid w:val="0ACA035D"/>
    <w:rsid w:val="0AFF4F3B"/>
    <w:rsid w:val="0B084E92"/>
    <w:rsid w:val="0B0C1365"/>
    <w:rsid w:val="0B24270F"/>
    <w:rsid w:val="0B265DB6"/>
    <w:rsid w:val="0B5B2E01"/>
    <w:rsid w:val="0B5B5A45"/>
    <w:rsid w:val="0C852455"/>
    <w:rsid w:val="0CCC77A9"/>
    <w:rsid w:val="0CE8523F"/>
    <w:rsid w:val="0D2F10A6"/>
    <w:rsid w:val="0D8F3153"/>
    <w:rsid w:val="0D9E7522"/>
    <w:rsid w:val="0D9F653B"/>
    <w:rsid w:val="0DB2084E"/>
    <w:rsid w:val="0E053BF0"/>
    <w:rsid w:val="0E775E94"/>
    <w:rsid w:val="0F434361"/>
    <w:rsid w:val="0FE556AC"/>
    <w:rsid w:val="100D260B"/>
    <w:rsid w:val="10380831"/>
    <w:rsid w:val="10433F97"/>
    <w:rsid w:val="10524707"/>
    <w:rsid w:val="108368B6"/>
    <w:rsid w:val="108C1AEB"/>
    <w:rsid w:val="10BD5B32"/>
    <w:rsid w:val="10F13157"/>
    <w:rsid w:val="11551485"/>
    <w:rsid w:val="12481E1D"/>
    <w:rsid w:val="12564681"/>
    <w:rsid w:val="126C6AD9"/>
    <w:rsid w:val="127C7574"/>
    <w:rsid w:val="134F010B"/>
    <w:rsid w:val="136A3068"/>
    <w:rsid w:val="13704CB7"/>
    <w:rsid w:val="14256A0F"/>
    <w:rsid w:val="143A1837"/>
    <w:rsid w:val="148C7B95"/>
    <w:rsid w:val="14AA16DB"/>
    <w:rsid w:val="152638B6"/>
    <w:rsid w:val="16234452"/>
    <w:rsid w:val="16A467D5"/>
    <w:rsid w:val="17484671"/>
    <w:rsid w:val="17FF27E0"/>
    <w:rsid w:val="18C17992"/>
    <w:rsid w:val="18D3099E"/>
    <w:rsid w:val="199E6580"/>
    <w:rsid w:val="199F2643"/>
    <w:rsid w:val="19FB33FD"/>
    <w:rsid w:val="1A927020"/>
    <w:rsid w:val="1AA26592"/>
    <w:rsid w:val="1ABB3992"/>
    <w:rsid w:val="1B0D3184"/>
    <w:rsid w:val="1B1A1F42"/>
    <w:rsid w:val="1B350ABF"/>
    <w:rsid w:val="1B775A01"/>
    <w:rsid w:val="1C140993"/>
    <w:rsid w:val="1CDD4B4F"/>
    <w:rsid w:val="1D123E1A"/>
    <w:rsid w:val="1D44664D"/>
    <w:rsid w:val="1E062D59"/>
    <w:rsid w:val="1E414AC7"/>
    <w:rsid w:val="1E5D4FF0"/>
    <w:rsid w:val="1E9535D8"/>
    <w:rsid w:val="1EB26A5F"/>
    <w:rsid w:val="1EEB7EE4"/>
    <w:rsid w:val="1F3B23FC"/>
    <w:rsid w:val="1F673EE3"/>
    <w:rsid w:val="1FCC2025"/>
    <w:rsid w:val="1FDE1003"/>
    <w:rsid w:val="1FE33E89"/>
    <w:rsid w:val="1FEB5207"/>
    <w:rsid w:val="1FEE4309"/>
    <w:rsid w:val="202D34E9"/>
    <w:rsid w:val="20E90A04"/>
    <w:rsid w:val="20FF3893"/>
    <w:rsid w:val="21365EDC"/>
    <w:rsid w:val="216C2FD8"/>
    <w:rsid w:val="217845FA"/>
    <w:rsid w:val="220D51CB"/>
    <w:rsid w:val="220E18A4"/>
    <w:rsid w:val="22423B84"/>
    <w:rsid w:val="23163A13"/>
    <w:rsid w:val="23664809"/>
    <w:rsid w:val="24831662"/>
    <w:rsid w:val="248C0371"/>
    <w:rsid w:val="249E3B74"/>
    <w:rsid w:val="24AD23A9"/>
    <w:rsid w:val="252C3FE8"/>
    <w:rsid w:val="25414D54"/>
    <w:rsid w:val="25C91E1A"/>
    <w:rsid w:val="260015C7"/>
    <w:rsid w:val="260C0E9B"/>
    <w:rsid w:val="266E5A1D"/>
    <w:rsid w:val="26882DB5"/>
    <w:rsid w:val="27AE3EA2"/>
    <w:rsid w:val="27E0593E"/>
    <w:rsid w:val="27FC4198"/>
    <w:rsid w:val="28051F42"/>
    <w:rsid w:val="28A00229"/>
    <w:rsid w:val="28B2452E"/>
    <w:rsid w:val="28BB27FD"/>
    <w:rsid w:val="29647ECD"/>
    <w:rsid w:val="296D5459"/>
    <w:rsid w:val="29776737"/>
    <w:rsid w:val="29C7038A"/>
    <w:rsid w:val="2A1372AD"/>
    <w:rsid w:val="2A4F4AD2"/>
    <w:rsid w:val="2A6E0D55"/>
    <w:rsid w:val="2A93101C"/>
    <w:rsid w:val="2AFC213A"/>
    <w:rsid w:val="2B220A1C"/>
    <w:rsid w:val="2B651AC4"/>
    <w:rsid w:val="2B73189A"/>
    <w:rsid w:val="2BCC553B"/>
    <w:rsid w:val="2C37210A"/>
    <w:rsid w:val="2C4E4BC5"/>
    <w:rsid w:val="2C933165"/>
    <w:rsid w:val="2D2712B9"/>
    <w:rsid w:val="2E051176"/>
    <w:rsid w:val="2E2C5A96"/>
    <w:rsid w:val="2E615C10"/>
    <w:rsid w:val="2E6C7F68"/>
    <w:rsid w:val="2E751593"/>
    <w:rsid w:val="2E8B773D"/>
    <w:rsid w:val="2EB21908"/>
    <w:rsid w:val="2EC351CF"/>
    <w:rsid w:val="2EFF3B96"/>
    <w:rsid w:val="2F0E78AF"/>
    <w:rsid w:val="2F10002E"/>
    <w:rsid w:val="2F7F1339"/>
    <w:rsid w:val="2FA27F4D"/>
    <w:rsid w:val="30804FB1"/>
    <w:rsid w:val="30B07742"/>
    <w:rsid w:val="30F10237"/>
    <w:rsid w:val="310A600F"/>
    <w:rsid w:val="311370BD"/>
    <w:rsid w:val="313A439C"/>
    <w:rsid w:val="31AA49D7"/>
    <w:rsid w:val="31B01586"/>
    <w:rsid w:val="322931EF"/>
    <w:rsid w:val="322953EA"/>
    <w:rsid w:val="327D1983"/>
    <w:rsid w:val="328D011E"/>
    <w:rsid w:val="32AA7564"/>
    <w:rsid w:val="333B7E14"/>
    <w:rsid w:val="3358115A"/>
    <w:rsid w:val="33E04EB0"/>
    <w:rsid w:val="33E10E52"/>
    <w:rsid w:val="34102AF8"/>
    <w:rsid w:val="34330AC1"/>
    <w:rsid w:val="34800DD5"/>
    <w:rsid w:val="350B70F4"/>
    <w:rsid w:val="35FA6918"/>
    <w:rsid w:val="36294229"/>
    <w:rsid w:val="372C51BD"/>
    <w:rsid w:val="376230C9"/>
    <w:rsid w:val="37752F8D"/>
    <w:rsid w:val="37C27EEC"/>
    <w:rsid w:val="381F74FC"/>
    <w:rsid w:val="384F55DF"/>
    <w:rsid w:val="38947C02"/>
    <w:rsid w:val="38E12EC4"/>
    <w:rsid w:val="394633F9"/>
    <w:rsid w:val="394D34DC"/>
    <w:rsid w:val="3987526D"/>
    <w:rsid w:val="39AD215D"/>
    <w:rsid w:val="39CF7037"/>
    <w:rsid w:val="39E2547E"/>
    <w:rsid w:val="39E66E1F"/>
    <w:rsid w:val="3A994940"/>
    <w:rsid w:val="3AAD2894"/>
    <w:rsid w:val="3AFE4A2B"/>
    <w:rsid w:val="3B0B7A3D"/>
    <w:rsid w:val="3B65351A"/>
    <w:rsid w:val="3C262B68"/>
    <w:rsid w:val="3C2A1DA0"/>
    <w:rsid w:val="3CEA3CCB"/>
    <w:rsid w:val="3CFD7A7D"/>
    <w:rsid w:val="3D0632F6"/>
    <w:rsid w:val="3D517B94"/>
    <w:rsid w:val="3D692F4E"/>
    <w:rsid w:val="3D892AE2"/>
    <w:rsid w:val="3D992D79"/>
    <w:rsid w:val="3DDA2E1C"/>
    <w:rsid w:val="3E340115"/>
    <w:rsid w:val="3E60057E"/>
    <w:rsid w:val="3EB1762C"/>
    <w:rsid w:val="3EC501F1"/>
    <w:rsid w:val="3F015822"/>
    <w:rsid w:val="3F9A342A"/>
    <w:rsid w:val="3F9C536C"/>
    <w:rsid w:val="3FB66365"/>
    <w:rsid w:val="3FD8056B"/>
    <w:rsid w:val="40211E7A"/>
    <w:rsid w:val="402237BE"/>
    <w:rsid w:val="40552A8A"/>
    <w:rsid w:val="407232B9"/>
    <w:rsid w:val="40851318"/>
    <w:rsid w:val="40D33261"/>
    <w:rsid w:val="40E15E3D"/>
    <w:rsid w:val="411C2E77"/>
    <w:rsid w:val="41317D51"/>
    <w:rsid w:val="41FF2EA7"/>
    <w:rsid w:val="4200121C"/>
    <w:rsid w:val="422205A5"/>
    <w:rsid w:val="42857592"/>
    <w:rsid w:val="4298042E"/>
    <w:rsid w:val="42B61C07"/>
    <w:rsid w:val="42BF30AA"/>
    <w:rsid w:val="42CF5A6C"/>
    <w:rsid w:val="432A1325"/>
    <w:rsid w:val="435841EC"/>
    <w:rsid w:val="43631589"/>
    <w:rsid w:val="436C39AA"/>
    <w:rsid w:val="44AB53C4"/>
    <w:rsid w:val="45430A0C"/>
    <w:rsid w:val="455A3DE1"/>
    <w:rsid w:val="455C74CF"/>
    <w:rsid w:val="45E16AB0"/>
    <w:rsid w:val="464A09B2"/>
    <w:rsid w:val="46891D8D"/>
    <w:rsid w:val="46E24747"/>
    <w:rsid w:val="479D7FC4"/>
    <w:rsid w:val="481C064B"/>
    <w:rsid w:val="48291E6E"/>
    <w:rsid w:val="484E2B3F"/>
    <w:rsid w:val="48500384"/>
    <w:rsid w:val="488F7A61"/>
    <w:rsid w:val="48A42E6E"/>
    <w:rsid w:val="48E641E2"/>
    <w:rsid w:val="4902688F"/>
    <w:rsid w:val="49091086"/>
    <w:rsid w:val="49437BF7"/>
    <w:rsid w:val="49B67D55"/>
    <w:rsid w:val="49D53648"/>
    <w:rsid w:val="49EB50CF"/>
    <w:rsid w:val="49F55F97"/>
    <w:rsid w:val="4A047939"/>
    <w:rsid w:val="4A2643CB"/>
    <w:rsid w:val="4A3F2491"/>
    <w:rsid w:val="4A5F2AA3"/>
    <w:rsid w:val="4A6F35A1"/>
    <w:rsid w:val="4A7C0D5B"/>
    <w:rsid w:val="4AA55997"/>
    <w:rsid w:val="4B3116E0"/>
    <w:rsid w:val="4C0F4559"/>
    <w:rsid w:val="4C4B7C54"/>
    <w:rsid w:val="4CB55511"/>
    <w:rsid w:val="4CBF0E11"/>
    <w:rsid w:val="4CCE3351"/>
    <w:rsid w:val="4CFC0B36"/>
    <w:rsid w:val="4D1F390E"/>
    <w:rsid w:val="4D3B73AE"/>
    <w:rsid w:val="4D4F64FA"/>
    <w:rsid w:val="4D6103B2"/>
    <w:rsid w:val="4D666776"/>
    <w:rsid w:val="4DBE396C"/>
    <w:rsid w:val="4F632846"/>
    <w:rsid w:val="4FA33D86"/>
    <w:rsid w:val="4FA7352A"/>
    <w:rsid w:val="4FAD11AB"/>
    <w:rsid w:val="4FD11B77"/>
    <w:rsid w:val="50003611"/>
    <w:rsid w:val="500C18DE"/>
    <w:rsid w:val="50277E10"/>
    <w:rsid w:val="50351E5B"/>
    <w:rsid w:val="50463F3A"/>
    <w:rsid w:val="50A4413D"/>
    <w:rsid w:val="51DC7FB1"/>
    <w:rsid w:val="52105243"/>
    <w:rsid w:val="52506FD2"/>
    <w:rsid w:val="527B0C6F"/>
    <w:rsid w:val="533106D3"/>
    <w:rsid w:val="533703B6"/>
    <w:rsid w:val="535B1D2C"/>
    <w:rsid w:val="53930D3A"/>
    <w:rsid w:val="53C56D48"/>
    <w:rsid w:val="53FF377E"/>
    <w:rsid w:val="54214F95"/>
    <w:rsid w:val="543C3B54"/>
    <w:rsid w:val="545633E8"/>
    <w:rsid w:val="546E2D94"/>
    <w:rsid w:val="54DA0032"/>
    <w:rsid w:val="558B7C4A"/>
    <w:rsid w:val="55AC209E"/>
    <w:rsid w:val="55B90EB0"/>
    <w:rsid w:val="55D66236"/>
    <w:rsid w:val="55EE7666"/>
    <w:rsid w:val="561545F2"/>
    <w:rsid w:val="56395990"/>
    <w:rsid w:val="569B0E94"/>
    <w:rsid w:val="56C34FDB"/>
    <w:rsid w:val="57316C6C"/>
    <w:rsid w:val="574D25FC"/>
    <w:rsid w:val="576125D9"/>
    <w:rsid w:val="57A90D42"/>
    <w:rsid w:val="57FD06FD"/>
    <w:rsid w:val="580A197A"/>
    <w:rsid w:val="581E0E6C"/>
    <w:rsid w:val="58223BD2"/>
    <w:rsid w:val="587D430D"/>
    <w:rsid w:val="58BD75C4"/>
    <w:rsid w:val="59526271"/>
    <w:rsid w:val="59BD026C"/>
    <w:rsid w:val="59D96E5B"/>
    <w:rsid w:val="5A1F4767"/>
    <w:rsid w:val="5A2A2A61"/>
    <w:rsid w:val="5B0D7AC7"/>
    <w:rsid w:val="5B105D90"/>
    <w:rsid w:val="5BA234BF"/>
    <w:rsid w:val="5BBA24C2"/>
    <w:rsid w:val="5BD13682"/>
    <w:rsid w:val="5BDF7A30"/>
    <w:rsid w:val="5C6A2FD1"/>
    <w:rsid w:val="5CA00B99"/>
    <w:rsid w:val="5CA2290A"/>
    <w:rsid w:val="5CC74ADA"/>
    <w:rsid w:val="5CE51874"/>
    <w:rsid w:val="5CEE1088"/>
    <w:rsid w:val="5D0F00F4"/>
    <w:rsid w:val="5D2A0919"/>
    <w:rsid w:val="5D311936"/>
    <w:rsid w:val="5E430729"/>
    <w:rsid w:val="5E5D5C23"/>
    <w:rsid w:val="5F4E2CED"/>
    <w:rsid w:val="5F673E8F"/>
    <w:rsid w:val="5F7536A1"/>
    <w:rsid w:val="5F893442"/>
    <w:rsid w:val="60222841"/>
    <w:rsid w:val="602B10DE"/>
    <w:rsid w:val="604A7CC3"/>
    <w:rsid w:val="60534A54"/>
    <w:rsid w:val="60AD1986"/>
    <w:rsid w:val="61415D9F"/>
    <w:rsid w:val="61591D19"/>
    <w:rsid w:val="62882B96"/>
    <w:rsid w:val="62992915"/>
    <w:rsid w:val="62CE6CE4"/>
    <w:rsid w:val="62FB2FEF"/>
    <w:rsid w:val="636927A6"/>
    <w:rsid w:val="63F976F9"/>
    <w:rsid w:val="6440416C"/>
    <w:rsid w:val="648F470C"/>
    <w:rsid w:val="64BA7397"/>
    <w:rsid w:val="64D04D3E"/>
    <w:rsid w:val="64E149D0"/>
    <w:rsid w:val="651754C7"/>
    <w:rsid w:val="66026312"/>
    <w:rsid w:val="66B96FFF"/>
    <w:rsid w:val="66C37581"/>
    <w:rsid w:val="66E97F2E"/>
    <w:rsid w:val="672F017C"/>
    <w:rsid w:val="67565976"/>
    <w:rsid w:val="6771528B"/>
    <w:rsid w:val="679C438C"/>
    <w:rsid w:val="67C9584A"/>
    <w:rsid w:val="680E01B0"/>
    <w:rsid w:val="686C045E"/>
    <w:rsid w:val="68820924"/>
    <w:rsid w:val="692312E2"/>
    <w:rsid w:val="69306797"/>
    <w:rsid w:val="696A4B4B"/>
    <w:rsid w:val="6978168A"/>
    <w:rsid w:val="69AE0FC8"/>
    <w:rsid w:val="69C54CE8"/>
    <w:rsid w:val="6A0C294B"/>
    <w:rsid w:val="6A131A4C"/>
    <w:rsid w:val="6A512A8F"/>
    <w:rsid w:val="6A995F55"/>
    <w:rsid w:val="6AAF6D34"/>
    <w:rsid w:val="6ACF750B"/>
    <w:rsid w:val="6ADF6125"/>
    <w:rsid w:val="6B5224C9"/>
    <w:rsid w:val="6B971CA2"/>
    <w:rsid w:val="6BBB5509"/>
    <w:rsid w:val="6C2C7F8A"/>
    <w:rsid w:val="6C847255"/>
    <w:rsid w:val="6D221B9B"/>
    <w:rsid w:val="6D7B107C"/>
    <w:rsid w:val="6E3379B9"/>
    <w:rsid w:val="6F0840AC"/>
    <w:rsid w:val="6F157793"/>
    <w:rsid w:val="6F716A1B"/>
    <w:rsid w:val="6F7656A6"/>
    <w:rsid w:val="6F820BF8"/>
    <w:rsid w:val="6F831BD3"/>
    <w:rsid w:val="6FAB6E49"/>
    <w:rsid w:val="6FCD2C62"/>
    <w:rsid w:val="6FDB3F45"/>
    <w:rsid w:val="700604DE"/>
    <w:rsid w:val="704716FC"/>
    <w:rsid w:val="706437BB"/>
    <w:rsid w:val="706A3D37"/>
    <w:rsid w:val="70880CB4"/>
    <w:rsid w:val="70C01192"/>
    <w:rsid w:val="70F249E2"/>
    <w:rsid w:val="714258D6"/>
    <w:rsid w:val="71612FB0"/>
    <w:rsid w:val="71B25084"/>
    <w:rsid w:val="71BD7E25"/>
    <w:rsid w:val="71C92B83"/>
    <w:rsid w:val="7231077B"/>
    <w:rsid w:val="7236312E"/>
    <w:rsid w:val="724D35CD"/>
    <w:rsid w:val="72E152A4"/>
    <w:rsid w:val="72FA6649"/>
    <w:rsid w:val="73164281"/>
    <w:rsid w:val="73CA2B3F"/>
    <w:rsid w:val="746E070C"/>
    <w:rsid w:val="74D6474D"/>
    <w:rsid w:val="75223370"/>
    <w:rsid w:val="756A2449"/>
    <w:rsid w:val="75A92AD5"/>
    <w:rsid w:val="75B04651"/>
    <w:rsid w:val="75B779F8"/>
    <w:rsid w:val="75D33F06"/>
    <w:rsid w:val="75ED2B5C"/>
    <w:rsid w:val="765D0B29"/>
    <w:rsid w:val="76A02EB0"/>
    <w:rsid w:val="76A336AF"/>
    <w:rsid w:val="76AE50EA"/>
    <w:rsid w:val="76C27AF7"/>
    <w:rsid w:val="772200E9"/>
    <w:rsid w:val="77232DF3"/>
    <w:rsid w:val="77403BA2"/>
    <w:rsid w:val="7816491B"/>
    <w:rsid w:val="784C5D91"/>
    <w:rsid w:val="78652E64"/>
    <w:rsid w:val="78E06D36"/>
    <w:rsid w:val="78F44748"/>
    <w:rsid w:val="790464A2"/>
    <w:rsid w:val="794B401A"/>
    <w:rsid w:val="79B62306"/>
    <w:rsid w:val="7A122AD9"/>
    <w:rsid w:val="7A1469CB"/>
    <w:rsid w:val="7A1E61BC"/>
    <w:rsid w:val="7A852FC2"/>
    <w:rsid w:val="7B5C31C8"/>
    <w:rsid w:val="7BAF2A6A"/>
    <w:rsid w:val="7C0279F3"/>
    <w:rsid w:val="7C4B0DB9"/>
    <w:rsid w:val="7C860491"/>
    <w:rsid w:val="7CD96EB5"/>
    <w:rsid w:val="7D0F09E5"/>
    <w:rsid w:val="7D351B24"/>
    <w:rsid w:val="7D4822CF"/>
    <w:rsid w:val="7D7F4B0A"/>
    <w:rsid w:val="7D8B671C"/>
    <w:rsid w:val="7DA07D45"/>
    <w:rsid w:val="7DB92B54"/>
    <w:rsid w:val="7DF83612"/>
    <w:rsid w:val="7E6729C5"/>
    <w:rsid w:val="7F2F7502"/>
    <w:rsid w:val="7FA04AA3"/>
    <w:rsid w:val="7FA31CDE"/>
    <w:rsid w:val="7FDB05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39"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6">
    <w:name w:val="heading 1"/>
    <w:basedOn w:val="1"/>
    <w:next w:val="1"/>
    <w:qFormat/>
    <w:uiPriority w:val="0"/>
    <w:pPr>
      <w:keepNext/>
      <w:keepLines/>
      <w:spacing w:before="340" w:after="330" w:line="576" w:lineRule="auto"/>
      <w:outlineLvl w:val="0"/>
    </w:pPr>
    <w:rPr>
      <w:b/>
      <w:kern w:val="44"/>
      <w:sz w:val="44"/>
    </w:rPr>
  </w:style>
  <w:style w:type="paragraph" w:styleId="7">
    <w:name w:val="heading 2"/>
    <w:basedOn w:val="1"/>
    <w:next w:val="1"/>
    <w:link w:val="32"/>
    <w:qFormat/>
    <w:uiPriority w:val="99"/>
    <w:pPr>
      <w:keepNext/>
      <w:keepLines/>
      <w:spacing w:line="415" w:lineRule="auto"/>
      <w:ind w:firstLine="628"/>
      <w:jc w:val="center"/>
      <w:outlineLvl w:val="1"/>
    </w:pPr>
    <w:rPr>
      <w:rFonts w:ascii="Arial" w:hAnsi="Arial" w:eastAsia="黑体"/>
      <w:b/>
      <w:bCs/>
      <w:sz w:val="32"/>
      <w:szCs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locked/>
    <w:uiPriority w:val="0"/>
    <w:pPr>
      <w:tabs>
        <w:tab w:val="left" w:pos="0"/>
        <w:tab w:val="left" w:pos="993"/>
        <w:tab w:val="left" w:pos="1134"/>
      </w:tabs>
      <w:spacing w:after="120"/>
      <w:ind w:left="420" w:leftChars="200" w:firstLine="420" w:firstLineChars="200"/>
    </w:pPr>
    <w:rPr>
      <w:rFonts w:ascii="Times New Roman" w:eastAsia="宋体"/>
      <w:sz w:val="21"/>
      <w:szCs w:val="24"/>
    </w:rPr>
  </w:style>
  <w:style w:type="paragraph" w:styleId="3">
    <w:name w:val="Body Text Indent"/>
    <w:basedOn w:val="1"/>
    <w:next w:val="4"/>
    <w:link w:val="35"/>
    <w:qFormat/>
    <w:uiPriority w:val="99"/>
    <w:pPr>
      <w:ind w:firstLine="645"/>
    </w:pPr>
    <w:rPr>
      <w:rFonts w:ascii="楷体_GB2312" w:eastAsia="楷体_GB2312"/>
      <w:sz w:val="32"/>
    </w:rPr>
  </w:style>
  <w:style w:type="paragraph" w:styleId="4">
    <w:name w:val="envelope return"/>
    <w:basedOn w:val="1"/>
    <w:qFormat/>
    <w:locked/>
    <w:uiPriority w:val="0"/>
    <w:pPr>
      <w:snapToGrid w:val="0"/>
    </w:pPr>
    <w:rPr>
      <w:rFonts w:ascii="Arial" w:hAnsi="Arial"/>
    </w:rPr>
  </w:style>
  <w:style w:type="paragraph" w:styleId="5">
    <w:name w:val="List"/>
    <w:basedOn w:val="1"/>
    <w:qFormat/>
    <w:locked/>
    <w:uiPriority w:val="0"/>
    <w:pPr>
      <w:adjustRightInd w:val="0"/>
      <w:spacing w:line="360" w:lineRule="atLeast"/>
      <w:ind w:left="420" w:hanging="420"/>
      <w:jc w:val="left"/>
    </w:pPr>
    <w:rPr>
      <w:rFonts w:hint="eastAsia" w:ascii="宋体"/>
      <w:kern w:val="0"/>
      <w:sz w:val="24"/>
      <w:szCs w:val="20"/>
    </w:rPr>
  </w:style>
  <w:style w:type="paragraph" w:styleId="8">
    <w:name w:val="Document Map"/>
    <w:basedOn w:val="1"/>
    <w:link w:val="33"/>
    <w:qFormat/>
    <w:uiPriority w:val="99"/>
    <w:rPr>
      <w:rFonts w:ascii="宋体"/>
      <w:sz w:val="18"/>
      <w:szCs w:val="18"/>
    </w:rPr>
  </w:style>
  <w:style w:type="paragraph" w:styleId="9">
    <w:name w:val="annotation text"/>
    <w:basedOn w:val="1"/>
    <w:link w:val="34"/>
    <w:qFormat/>
    <w:uiPriority w:val="99"/>
    <w:pPr>
      <w:jc w:val="left"/>
    </w:pPr>
  </w:style>
  <w:style w:type="paragraph" w:styleId="10">
    <w:name w:val="Body Text"/>
    <w:basedOn w:val="1"/>
    <w:next w:val="11"/>
    <w:qFormat/>
    <w:locked/>
    <w:uiPriority w:val="0"/>
    <w:pPr>
      <w:spacing w:after="120"/>
    </w:pPr>
    <w:rPr>
      <w:rFonts w:ascii="Times New Roman" w:hAnsi="Times New Roman"/>
      <w:kern w:val="0"/>
      <w:sz w:val="20"/>
    </w:rPr>
  </w:style>
  <w:style w:type="paragraph" w:customStyle="1" w:styleId="11">
    <w:name w:val="style4"/>
    <w:basedOn w:val="1"/>
    <w:next w:val="12"/>
    <w:qFormat/>
    <w:uiPriority w:val="0"/>
    <w:pPr>
      <w:widowControl/>
      <w:spacing w:before="280" w:after="280"/>
    </w:pPr>
    <w:rPr>
      <w:rFonts w:ascii="宋体"/>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List 2"/>
    <w:basedOn w:val="1"/>
    <w:qFormat/>
    <w:uiPriority w:val="99"/>
    <w:pPr>
      <w:ind w:left="400" w:leftChars="200" w:hanging="200" w:hangingChars="200"/>
    </w:pPr>
    <w:rPr>
      <w:szCs w:val="24"/>
    </w:rPr>
  </w:style>
  <w:style w:type="paragraph" w:styleId="14">
    <w:name w:val="toc 3"/>
    <w:basedOn w:val="1"/>
    <w:next w:val="1"/>
    <w:semiHidden/>
    <w:qFormat/>
    <w:uiPriority w:val="99"/>
    <w:pPr>
      <w:ind w:left="840" w:leftChars="400"/>
    </w:pPr>
    <w:rPr>
      <w:sz w:val="32"/>
    </w:rPr>
  </w:style>
  <w:style w:type="paragraph" w:styleId="15">
    <w:name w:val="Plain Text"/>
    <w:basedOn w:val="1"/>
    <w:qFormat/>
    <w:locked/>
    <w:uiPriority w:val="0"/>
    <w:rPr>
      <w:rFonts w:ascii="宋体" w:hAnsi="Courier New"/>
      <w:kern w:val="0"/>
    </w:rPr>
  </w:style>
  <w:style w:type="paragraph" w:styleId="16">
    <w:name w:val="Date"/>
    <w:basedOn w:val="1"/>
    <w:next w:val="1"/>
    <w:link w:val="36"/>
    <w:qFormat/>
    <w:uiPriority w:val="99"/>
    <w:rPr>
      <w:b/>
      <w:sz w:val="28"/>
    </w:rPr>
  </w:style>
  <w:style w:type="paragraph" w:styleId="17">
    <w:name w:val="Balloon Text"/>
    <w:basedOn w:val="1"/>
    <w:link w:val="42"/>
    <w:semiHidden/>
    <w:qFormat/>
    <w:locked/>
    <w:uiPriority w:val="99"/>
    <w:rPr>
      <w:sz w:val="18"/>
      <w:szCs w:val="18"/>
    </w:rPr>
  </w:style>
  <w:style w:type="paragraph" w:styleId="18">
    <w:name w:val="footer"/>
    <w:basedOn w:val="1"/>
    <w:link w:val="37"/>
    <w:qFormat/>
    <w:uiPriority w:val="99"/>
    <w:pPr>
      <w:tabs>
        <w:tab w:val="center" w:pos="4153"/>
        <w:tab w:val="right" w:pos="8306"/>
      </w:tabs>
      <w:snapToGrid w:val="0"/>
      <w:jc w:val="left"/>
    </w:pPr>
    <w:rPr>
      <w:sz w:val="18"/>
    </w:rPr>
  </w:style>
  <w:style w:type="paragraph" w:styleId="19">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semiHidden/>
    <w:qFormat/>
    <w:uiPriority w:val="99"/>
    <w:rPr>
      <w:sz w:val="32"/>
    </w:rPr>
  </w:style>
  <w:style w:type="paragraph" w:styleId="21">
    <w:name w:val="toc 2"/>
    <w:basedOn w:val="1"/>
    <w:next w:val="1"/>
    <w:qFormat/>
    <w:uiPriority w:val="39"/>
    <w:pPr>
      <w:ind w:left="420" w:leftChars="200"/>
    </w:pPr>
    <w:rPr>
      <w:sz w:val="32"/>
    </w:rPr>
  </w:style>
  <w:style w:type="paragraph" w:styleId="22">
    <w:name w:val="Normal (Web)"/>
    <w:basedOn w:val="1"/>
    <w:qFormat/>
    <w:uiPriority w:val="99"/>
    <w:pPr>
      <w:widowControl/>
      <w:spacing w:beforeAutospacing="1" w:afterAutospacing="1"/>
      <w:jc w:val="left"/>
    </w:pPr>
    <w:rPr>
      <w:rFonts w:ascii="宋体"/>
      <w:kern w:val="0"/>
      <w:sz w:val="24"/>
      <w:szCs w:val="24"/>
    </w:rPr>
  </w:style>
  <w:style w:type="paragraph" w:styleId="23">
    <w:name w:val="annotation subject"/>
    <w:basedOn w:val="9"/>
    <w:next w:val="9"/>
    <w:link w:val="41"/>
    <w:semiHidden/>
    <w:qFormat/>
    <w:locked/>
    <w:uiPriority w:val="99"/>
    <w:rPr>
      <w:b/>
      <w:bCs/>
    </w:rPr>
  </w:style>
  <w:style w:type="paragraph" w:styleId="24">
    <w:name w:val="Body Text First Indent"/>
    <w:basedOn w:val="10"/>
    <w:next w:val="1"/>
    <w:qFormat/>
    <w:locked/>
    <w:uiPriority w:val="0"/>
    <w:pPr>
      <w:ind w:firstLine="420" w:firstLineChars="100"/>
    </w:pPr>
  </w:style>
  <w:style w:type="character" w:styleId="27">
    <w:name w:val="Strong"/>
    <w:qFormat/>
    <w:uiPriority w:val="99"/>
    <w:rPr>
      <w:rFonts w:cs="Times New Roman"/>
      <w:b/>
      <w:bCs/>
    </w:rPr>
  </w:style>
  <w:style w:type="character" w:styleId="28">
    <w:name w:val="page number"/>
    <w:qFormat/>
    <w:uiPriority w:val="99"/>
    <w:rPr>
      <w:rFonts w:cs="Times New Roman"/>
    </w:rPr>
  </w:style>
  <w:style w:type="character" w:styleId="29">
    <w:name w:val="FollowedHyperlink"/>
    <w:qFormat/>
    <w:uiPriority w:val="99"/>
    <w:rPr>
      <w:rFonts w:cs="Times New Roman"/>
      <w:color w:val="800080"/>
      <w:u w:val="single"/>
    </w:rPr>
  </w:style>
  <w:style w:type="character" w:styleId="30">
    <w:name w:val="Hyperlink"/>
    <w:qFormat/>
    <w:uiPriority w:val="99"/>
    <w:rPr>
      <w:rFonts w:cs="Times New Roman"/>
      <w:color w:val="0000FF"/>
      <w:u w:val="single"/>
    </w:rPr>
  </w:style>
  <w:style w:type="character" w:styleId="31">
    <w:name w:val="annotation reference"/>
    <w:semiHidden/>
    <w:qFormat/>
    <w:locked/>
    <w:uiPriority w:val="99"/>
    <w:rPr>
      <w:rFonts w:cs="Times New Roman"/>
      <w:sz w:val="21"/>
      <w:szCs w:val="21"/>
    </w:rPr>
  </w:style>
  <w:style w:type="character" w:customStyle="1" w:styleId="32">
    <w:name w:val="标题 2 字符"/>
    <w:link w:val="7"/>
    <w:semiHidden/>
    <w:qFormat/>
    <w:locked/>
    <w:uiPriority w:val="99"/>
    <w:rPr>
      <w:rFonts w:ascii="Cambria" w:hAnsi="Cambria" w:eastAsia="宋体" w:cs="Times New Roman"/>
      <w:b/>
      <w:bCs/>
      <w:sz w:val="32"/>
      <w:szCs w:val="32"/>
    </w:rPr>
  </w:style>
  <w:style w:type="character" w:customStyle="1" w:styleId="33">
    <w:name w:val="文档结构图 字符"/>
    <w:link w:val="8"/>
    <w:semiHidden/>
    <w:qFormat/>
    <w:locked/>
    <w:uiPriority w:val="99"/>
    <w:rPr>
      <w:rFonts w:ascii="宋体" w:cs="Times New Roman"/>
      <w:sz w:val="18"/>
      <w:szCs w:val="18"/>
    </w:rPr>
  </w:style>
  <w:style w:type="character" w:customStyle="1" w:styleId="34">
    <w:name w:val="批注文字 字符"/>
    <w:link w:val="9"/>
    <w:semiHidden/>
    <w:qFormat/>
    <w:locked/>
    <w:uiPriority w:val="99"/>
    <w:rPr>
      <w:rFonts w:cs="Times New Roman"/>
      <w:sz w:val="21"/>
      <w:szCs w:val="21"/>
    </w:rPr>
  </w:style>
  <w:style w:type="character" w:customStyle="1" w:styleId="35">
    <w:name w:val="正文文本缩进 字符"/>
    <w:link w:val="3"/>
    <w:semiHidden/>
    <w:qFormat/>
    <w:locked/>
    <w:uiPriority w:val="99"/>
    <w:rPr>
      <w:rFonts w:cs="Times New Roman"/>
      <w:sz w:val="21"/>
      <w:szCs w:val="21"/>
    </w:rPr>
  </w:style>
  <w:style w:type="character" w:customStyle="1" w:styleId="36">
    <w:name w:val="日期 字符"/>
    <w:link w:val="16"/>
    <w:semiHidden/>
    <w:qFormat/>
    <w:locked/>
    <w:uiPriority w:val="99"/>
    <w:rPr>
      <w:rFonts w:cs="Times New Roman"/>
      <w:sz w:val="21"/>
      <w:szCs w:val="21"/>
    </w:rPr>
  </w:style>
  <w:style w:type="character" w:customStyle="1" w:styleId="37">
    <w:name w:val="页脚 字符"/>
    <w:link w:val="18"/>
    <w:semiHidden/>
    <w:qFormat/>
    <w:locked/>
    <w:uiPriority w:val="99"/>
    <w:rPr>
      <w:rFonts w:cs="Times New Roman"/>
      <w:sz w:val="18"/>
      <w:szCs w:val="18"/>
    </w:rPr>
  </w:style>
  <w:style w:type="character" w:customStyle="1" w:styleId="38">
    <w:name w:val="页眉 字符"/>
    <w:link w:val="19"/>
    <w:semiHidden/>
    <w:qFormat/>
    <w:locked/>
    <w:uiPriority w:val="99"/>
    <w:rPr>
      <w:rFonts w:cs="Times New Roman"/>
      <w:sz w:val="18"/>
      <w:szCs w:val="18"/>
    </w:rPr>
  </w:style>
  <w:style w:type="paragraph" w:customStyle="1" w:styleId="39">
    <w:name w:val="p0"/>
    <w:basedOn w:val="1"/>
    <w:qFormat/>
    <w:uiPriority w:val="99"/>
    <w:pPr>
      <w:widowControl/>
    </w:pPr>
    <w:rPr>
      <w:rFonts w:ascii="仿宋_GB2312" w:hAnsi="Times New Roman" w:eastAsia="仿宋_GB2312" w:cs="宋体"/>
      <w:kern w:val="0"/>
      <w:sz w:val="32"/>
    </w:rPr>
  </w:style>
  <w:style w:type="paragraph" w:customStyle="1" w:styleId="40">
    <w:name w:val="p15"/>
    <w:basedOn w:val="1"/>
    <w:qFormat/>
    <w:uiPriority w:val="99"/>
    <w:pPr>
      <w:widowControl/>
      <w:snapToGrid w:val="0"/>
      <w:spacing w:before="100" w:after="100"/>
      <w:ind w:left="360" w:right="360"/>
      <w:jc w:val="left"/>
    </w:pPr>
    <w:rPr>
      <w:rFonts w:ascii="仿宋_GB2312" w:hAnsi="宋体" w:eastAsia="仿宋_GB2312" w:cs="宋体"/>
      <w:kern w:val="0"/>
      <w:sz w:val="24"/>
      <w:szCs w:val="24"/>
    </w:rPr>
  </w:style>
  <w:style w:type="character" w:customStyle="1" w:styleId="41">
    <w:name w:val="批注主题 字符"/>
    <w:link w:val="23"/>
    <w:semiHidden/>
    <w:qFormat/>
    <w:locked/>
    <w:uiPriority w:val="99"/>
    <w:rPr>
      <w:rFonts w:cs="Times New Roman"/>
      <w:b/>
      <w:bCs/>
      <w:sz w:val="21"/>
      <w:szCs w:val="21"/>
    </w:rPr>
  </w:style>
  <w:style w:type="character" w:customStyle="1" w:styleId="42">
    <w:name w:val="批注框文本 字符"/>
    <w:link w:val="17"/>
    <w:semiHidden/>
    <w:qFormat/>
    <w:locked/>
    <w:uiPriority w:val="99"/>
    <w:rPr>
      <w:rFonts w:cs="Times New Roman"/>
      <w:sz w:val="2"/>
    </w:rPr>
  </w:style>
  <w:style w:type="paragraph" w:customStyle="1" w:styleId="43">
    <w:name w:val="Blockquote"/>
    <w:basedOn w:val="1"/>
    <w:qFormat/>
    <w:uiPriority w:val="99"/>
    <w:pPr>
      <w:autoSpaceDE w:val="0"/>
      <w:autoSpaceDN w:val="0"/>
      <w:adjustRightInd w:val="0"/>
      <w:spacing w:before="100" w:after="100"/>
      <w:ind w:left="360" w:right="360"/>
      <w:jc w:val="left"/>
    </w:pPr>
    <w:rPr>
      <w:rFonts w:ascii="Times New Roman" w:hAnsi="Times New Roman"/>
      <w:kern w:val="0"/>
      <w:sz w:val="24"/>
      <w:szCs w:val="20"/>
    </w:rPr>
  </w:style>
  <w:style w:type="paragraph" w:styleId="44">
    <w:name w:val="No Spacing"/>
    <w:qFormat/>
    <w:uiPriority w:val="1"/>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45">
    <w:name w:val="List Paragraph"/>
    <w:basedOn w:val="1"/>
    <w:unhideWhenUsed/>
    <w:qFormat/>
    <w:uiPriority w:val="99"/>
    <w:pPr>
      <w:ind w:firstLine="420" w:firstLineChars="200"/>
    </w:pPr>
  </w:style>
  <w:style w:type="paragraph" w:customStyle="1" w:styleId="46">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8A5B9-43E5-4B56-A99A-A3CC044BE7D9}">
  <ds:schemaRefs/>
</ds:datastoreItem>
</file>

<file path=docProps/app.xml><?xml version="1.0" encoding="utf-8"?>
<Properties xmlns="http://schemas.openxmlformats.org/officeDocument/2006/extended-properties" xmlns:vt="http://schemas.openxmlformats.org/officeDocument/2006/docPropsVTypes">
  <Template>Normal.dotm</Template>
  <Company>XXXX</Company>
  <Pages>46</Pages>
  <Words>4196</Words>
  <Characters>23919</Characters>
  <Lines>199</Lines>
  <Paragraphs>56</Paragraphs>
  <TotalTime>15</TotalTime>
  <ScaleCrop>false</ScaleCrop>
  <LinksUpToDate>false</LinksUpToDate>
  <CharactersWithSpaces>28059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2019-06-20T08:05:00Z</dcterms:created>
  <dc:creator>Administrator</dc:creator>
  <cp:lastModifiedBy>随遇而安</cp:lastModifiedBy>
  <cp:lastPrinted>2017-02-22T13:08:00Z</cp:lastPrinted>
  <dcterms:modified xsi:type="dcterms:W3CDTF">2021-11-04T03:04:55Z</dcterms:modified>
  <dc:title>六安开发区监察审计局选聘招标代理及工程造价咨询机构入库服务项目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E9A25CB3421A47B8901F4C7F35810181</vt:lpwstr>
  </property>
</Properties>
</file>