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DF481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公文小标宋" w:hAnsi="方正公文小标宋" w:eastAsia="方正公文小标宋" w:cs="方正公文小标宋"/>
          <w:color w:val="auto"/>
          <w:sz w:val="44"/>
          <w:szCs w:val="52"/>
          <w:highlight w:val="none"/>
          <w:lang w:val="en-US" w:eastAsia="zh-CN"/>
        </w:rPr>
      </w:pPr>
      <w:r>
        <w:rPr>
          <w:rFonts w:hint="eastAsia" w:ascii="仿宋" w:hAnsi="仿宋" w:eastAsia="仿宋" w:cs="仿宋"/>
          <w:b/>
          <w:bCs/>
          <w:color w:val="auto"/>
          <w:sz w:val="24"/>
          <w:szCs w:val="24"/>
          <w:highlight w:val="none"/>
        </w:rPr>
        <w:t>竞</w:t>
      </w:r>
      <w:r>
        <w:rPr>
          <w:rFonts w:hint="eastAsia" w:ascii="仿宋" w:hAnsi="仿宋" w:eastAsia="仿宋" w:cs="仿宋"/>
          <w:b/>
          <w:bCs/>
          <w:color w:val="auto"/>
          <w:sz w:val="24"/>
          <w:szCs w:val="24"/>
          <w:highlight w:val="none"/>
          <w:lang w:val="en-US" w:eastAsia="zh-CN"/>
        </w:rPr>
        <w:t>租</w:t>
      </w:r>
      <w:r>
        <w:rPr>
          <w:rFonts w:hint="eastAsia" w:ascii="仿宋" w:hAnsi="仿宋" w:eastAsia="仿宋" w:cs="仿宋"/>
          <w:b/>
          <w:bCs/>
          <w:color w:val="auto"/>
          <w:sz w:val="24"/>
          <w:szCs w:val="24"/>
          <w:highlight w:val="none"/>
        </w:rPr>
        <w:t>人注意：请仔细阅读本次拍</w:t>
      </w:r>
      <w:r>
        <w:rPr>
          <w:rFonts w:hint="eastAsia" w:ascii="仿宋" w:hAnsi="仿宋" w:eastAsia="仿宋" w:cs="仿宋"/>
          <w:b/>
          <w:bCs/>
          <w:color w:val="auto"/>
          <w:sz w:val="24"/>
          <w:szCs w:val="24"/>
          <w:highlight w:val="none"/>
          <w:lang w:val="en-US" w:eastAsia="zh-CN"/>
        </w:rPr>
        <w:t>租</w:t>
      </w:r>
      <w:r>
        <w:rPr>
          <w:rFonts w:hint="eastAsia" w:ascii="仿宋" w:hAnsi="仿宋" w:eastAsia="仿宋" w:cs="仿宋"/>
          <w:b/>
          <w:bCs/>
          <w:color w:val="auto"/>
          <w:sz w:val="24"/>
          <w:szCs w:val="24"/>
          <w:highlight w:val="none"/>
        </w:rPr>
        <w:t>会竞</w:t>
      </w:r>
      <w:r>
        <w:rPr>
          <w:rFonts w:hint="eastAsia" w:ascii="仿宋" w:hAnsi="仿宋" w:eastAsia="仿宋" w:cs="仿宋"/>
          <w:b/>
          <w:bCs/>
          <w:color w:val="auto"/>
          <w:sz w:val="24"/>
          <w:szCs w:val="24"/>
          <w:highlight w:val="none"/>
          <w:lang w:val="en-US" w:eastAsia="zh-CN"/>
        </w:rPr>
        <w:t>租</w:t>
      </w:r>
      <w:r>
        <w:rPr>
          <w:rFonts w:hint="eastAsia" w:ascii="仿宋" w:hAnsi="仿宋" w:eastAsia="仿宋" w:cs="仿宋"/>
          <w:b/>
          <w:bCs/>
          <w:color w:val="auto"/>
          <w:sz w:val="24"/>
          <w:szCs w:val="24"/>
          <w:highlight w:val="none"/>
        </w:rPr>
        <w:t>须知，凡参加竞</w:t>
      </w:r>
      <w:r>
        <w:rPr>
          <w:rFonts w:hint="eastAsia" w:ascii="仿宋" w:hAnsi="仿宋" w:eastAsia="仿宋" w:cs="仿宋"/>
          <w:b/>
          <w:bCs/>
          <w:color w:val="auto"/>
          <w:sz w:val="24"/>
          <w:szCs w:val="24"/>
          <w:highlight w:val="none"/>
          <w:lang w:val="en-US" w:eastAsia="zh-CN"/>
        </w:rPr>
        <w:t>租</w:t>
      </w:r>
      <w:r>
        <w:rPr>
          <w:rFonts w:hint="eastAsia" w:ascii="仿宋" w:hAnsi="仿宋" w:eastAsia="仿宋" w:cs="仿宋"/>
          <w:b/>
          <w:bCs/>
          <w:color w:val="auto"/>
          <w:sz w:val="24"/>
          <w:szCs w:val="24"/>
          <w:highlight w:val="none"/>
        </w:rPr>
        <w:t>的竞</w:t>
      </w:r>
      <w:r>
        <w:rPr>
          <w:rFonts w:hint="eastAsia" w:ascii="仿宋" w:hAnsi="仿宋" w:eastAsia="仿宋" w:cs="仿宋"/>
          <w:b/>
          <w:bCs/>
          <w:color w:val="auto"/>
          <w:sz w:val="24"/>
          <w:szCs w:val="24"/>
          <w:highlight w:val="none"/>
          <w:lang w:val="en-US" w:eastAsia="zh-CN"/>
        </w:rPr>
        <w:t>租</w:t>
      </w:r>
      <w:r>
        <w:rPr>
          <w:rFonts w:hint="eastAsia" w:ascii="仿宋" w:hAnsi="仿宋" w:eastAsia="仿宋" w:cs="仿宋"/>
          <w:b/>
          <w:bCs/>
          <w:color w:val="auto"/>
          <w:sz w:val="24"/>
          <w:szCs w:val="24"/>
          <w:highlight w:val="none"/>
        </w:rPr>
        <w:t>人，均视为认可本次拍</w:t>
      </w:r>
      <w:r>
        <w:rPr>
          <w:rFonts w:hint="eastAsia" w:ascii="仿宋" w:hAnsi="仿宋" w:eastAsia="仿宋" w:cs="仿宋"/>
          <w:b/>
          <w:bCs/>
          <w:color w:val="auto"/>
          <w:sz w:val="24"/>
          <w:szCs w:val="24"/>
          <w:highlight w:val="none"/>
          <w:lang w:val="en-US" w:eastAsia="zh-CN"/>
        </w:rPr>
        <w:t>租</w:t>
      </w:r>
      <w:r>
        <w:rPr>
          <w:rFonts w:hint="eastAsia" w:ascii="仿宋" w:hAnsi="仿宋" w:eastAsia="仿宋" w:cs="仿宋"/>
          <w:b/>
          <w:bCs/>
          <w:color w:val="auto"/>
          <w:sz w:val="24"/>
          <w:szCs w:val="24"/>
          <w:highlight w:val="none"/>
        </w:rPr>
        <w:t>会的竞</w:t>
      </w:r>
      <w:r>
        <w:rPr>
          <w:rFonts w:hint="eastAsia" w:ascii="仿宋" w:hAnsi="仿宋" w:eastAsia="仿宋" w:cs="仿宋"/>
          <w:b/>
          <w:bCs/>
          <w:color w:val="auto"/>
          <w:sz w:val="24"/>
          <w:szCs w:val="24"/>
          <w:highlight w:val="none"/>
          <w:lang w:val="en-US" w:eastAsia="zh-CN"/>
        </w:rPr>
        <w:t>租</w:t>
      </w:r>
      <w:r>
        <w:rPr>
          <w:rFonts w:hint="eastAsia" w:ascii="仿宋" w:hAnsi="仿宋" w:eastAsia="仿宋" w:cs="仿宋"/>
          <w:b/>
          <w:bCs/>
          <w:color w:val="auto"/>
          <w:sz w:val="24"/>
          <w:szCs w:val="24"/>
          <w:highlight w:val="none"/>
        </w:rPr>
        <w:t>须知，应按照本次竞</w:t>
      </w:r>
      <w:r>
        <w:rPr>
          <w:rFonts w:hint="eastAsia" w:ascii="仿宋" w:hAnsi="仿宋" w:eastAsia="仿宋" w:cs="仿宋"/>
          <w:b/>
          <w:bCs/>
          <w:color w:val="auto"/>
          <w:sz w:val="24"/>
          <w:szCs w:val="24"/>
          <w:highlight w:val="none"/>
          <w:lang w:val="en-US" w:eastAsia="zh-CN"/>
        </w:rPr>
        <w:t>租</w:t>
      </w:r>
      <w:r>
        <w:rPr>
          <w:rFonts w:hint="eastAsia" w:ascii="仿宋" w:hAnsi="仿宋" w:eastAsia="仿宋" w:cs="仿宋"/>
          <w:b/>
          <w:bCs/>
          <w:color w:val="auto"/>
          <w:sz w:val="24"/>
          <w:szCs w:val="24"/>
          <w:highlight w:val="none"/>
        </w:rPr>
        <w:t>须知进行竞</w:t>
      </w:r>
      <w:r>
        <w:rPr>
          <w:rFonts w:hint="eastAsia" w:ascii="仿宋" w:hAnsi="仿宋" w:eastAsia="仿宋" w:cs="仿宋"/>
          <w:b/>
          <w:bCs/>
          <w:color w:val="auto"/>
          <w:sz w:val="24"/>
          <w:szCs w:val="24"/>
          <w:highlight w:val="none"/>
          <w:lang w:val="en-US" w:eastAsia="zh-CN"/>
        </w:rPr>
        <w:t>租</w:t>
      </w:r>
      <w:r>
        <w:rPr>
          <w:rFonts w:hint="eastAsia" w:ascii="仿宋" w:hAnsi="仿宋" w:eastAsia="仿宋" w:cs="仿宋"/>
          <w:b/>
          <w:bCs/>
          <w:color w:val="auto"/>
          <w:sz w:val="24"/>
          <w:szCs w:val="24"/>
          <w:highlight w:val="none"/>
        </w:rPr>
        <w:t>和付款，否则将负相应的法律责任。</w:t>
      </w:r>
    </w:p>
    <w:p w14:paraId="4A71CFF2">
      <w:pPr>
        <w:ind w:firstLine="640" w:firstLineChars="200"/>
        <w:jc w:val="center"/>
        <w:rPr>
          <w:rFonts w:hint="eastAsia" w:ascii="方正公文小标宋" w:hAnsi="方正公文小标宋" w:eastAsia="方正公文小标宋" w:cs="方正公文小标宋"/>
          <w:color w:val="auto"/>
          <w:sz w:val="32"/>
          <w:szCs w:val="32"/>
          <w:highlight w:val="none"/>
          <w:lang w:val="en-US" w:eastAsia="zh-CN"/>
        </w:rPr>
      </w:pPr>
      <w:r>
        <w:rPr>
          <w:rFonts w:hint="eastAsia" w:ascii="方正公文小标宋" w:hAnsi="方正公文小标宋" w:eastAsia="方正公文小标宋" w:cs="方正公文小标宋"/>
          <w:color w:val="auto"/>
          <w:sz w:val="32"/>
          <w:szCs w:val="32"/>
          <w:highlight w:val="none"/>
          <w:lang w:val="en-US" w:eastAsia="zh-CN"/>
        </w:rPr>
        <w:t>竞租须知</w:t>
      </w:r>
    </w:p>
    <w:p w14:paraId="0C5F2BF2">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firstLine="562" w:firstLineChars="200"/>
        <w:textAlignment w:val="auto"/>
        <w:rPr>
          <w:rFonts w:hint="eastAsia" w:ascii="仿宋" w:hAnsi="仿宋" w:eastAsia="仿宋" w:cs="仿宋"/>
          <w:b/>
          <w:bCs/>
          <w:color w:val="auto"/>
          <w:sz w:val="28"/>
          <w:szCs w:val="28"/>
          <w:highlight w:val="none"/>
          <w:lang w:eastAsia="zh-CN"/>
        </w:rPr>
      </w:pPr>
      <w:r>
        <w:rPr>
          <w:rFonts w:hint="eastAsia" w:ascii="仿宋" w:hAnsi="仿宋" w:eastAsia="仿宋" w:cs="仿宋"/>
          <w:b/>
          <w:bCs/>
          <w:color w:val="auto"/>
          <w:sz w:val="28"/>
          <w:szCs w:val="28"/>
          <w:highlight w:val="none"/>
          <w:lang w:eastAsia="zh-CN"/>
        </w:rPr>
        <w:t>本次拍租</w:t>
      </w:r>
      <w:r>
        <w:rPr>
          <w:rFonts w:hint="eastAsia" w:ascii="仿宋" w:hAnsi="仿宋" w:eastAsia="仿宋" w:cs="仿宋"/>
          <w:b/>
          <w:bCs/>
          <w:color w:val="auto"/>
          <w:sz w:val="28"/>
          <w:szCs w:val="28"/>
          <w:highlight w:val="none"/>
          <w:lang w:val="en-US" w:eastAsia="zh-CN"/>
        </w:rPr>
        <w:t>标的及参考价</w:t>
      </w:r>
    </w:p>
    <w:p w14:paraId="15CF10D1">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560" w:firstLineChars="200"/>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本次拍租标的为六安市叶集职业学校培训中心3年期租赁经营权。其中：楼层为地下一层至地上六层，建筑面积为11983.1㎡，经营权涉及内容为：六安市叶集职业学校培训中心区域及大楼内所有区域，包含：客房服务、餐饮服务、经营场所保洁、公区保洁、垃圾分类、电梯维护、地下停车场、前台接待服务、水电设备维护维修管理、培训服务、会议服务、仓库资产管理等管理运营服务职能。3</w:t>
      </w:r>
      <w:r>
        <w:rPr>
          <w:rFonts w:hint="eastAsia" w:ascii="仿宋" w:hAnsi="仿宋" w:eastAsia="仿宋" w:cs="仿宋"/>
          <w:b w:val="0"/>
          <w:bCs w:val="0"/>
          <w:color w:val="auto"/>
          <w:sz w:val="28"/>
          <w:szCs w:val="28"/>
          <w:highlight w:val="none"/>
          <w:lang w:val="en-US" w:eastAsia="zh-CN"/>
        </w:rPr>
        <w:t>年租金总参考价：900000元（玖拾万元整），竞租保证金：30000元。</w:t>
      </w:r>
    </w:p>
    <w:p w14:paraId="02C0C9C5">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Chars="0" w:right="0" w:rightChars="0" w:firstLine="560" w:firstLineChars="200"/>
        <w:jc w:val="left"/>
        <w:textAlignment w:val="auto"/>
        <w:rPr>
          <w:rFonts w:hint="default" w:ascii="仿宋" w:hAnsi="仿宋" w:eastAsia="仿宋" w:cs="仿宋"/>
          <w:i w:val="0"/>
          <w:iCs w:val="0"/>
          <w:caps w:val="0"/>
          <w:color w:val="auto"/>
          <w:spacing w:val="0"/>
          <w:kern w:val="0"/>
          <w:sz w:val="28"/>
          <w:szCs w:val="28"/>
          <w:highlight w:val="none"/>
          <w:shd w:val="clear" w:color="auto" w:fill="FFFFFF"/>
          <w:lang w:val="en-US" w:eastAsia="zh-CN" w:bidi="ar"/>
        </w:rPr>
      </w:pPr>
      <w:r>
        <w:rPr>
          <w:rFonts w:hint="eastAsia" w:ascii="仿宋" w:hAnsi="仿宋" w:eastAsia="仿宋" w:cs="仿宋"/>
          <w:i w:val="0"/>
          <w:iCs w:val="0"/>
          <w:caps w:val="0"/>
          <w:color w:val="auto"/>
          <w:spacing w:val="0"/>
          <w:kern w:val="0"/>
          <w:sz w:val="28"/>
          <w:szCs w:val="28"/>
          <w:highlight w:val="none"/>
          <w:shd w:val="clear" w:color="auto" w:fill="FFFFFF"/>
          <w:lang w:val="en-US" w:eastAsia="zh-CN" w:bidi="ar"/>
        </w:rPr>
        <w:t xml:space="preserve">注：所有标的按现状拍租，现状移交。成交后，由六安市叶集职业学校与竞得人签订《租赁合同》，具体条款由双方在合同中约定。  </w:t>
      </w:r>
    </w:p>
    <w:p w14:paraId="50638D19">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0" w:leftChars="0" w:firstLine="562" w:firstLineChars="200"/>
        <w:textAlignment w:val="auto"/>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竞租人资格、看样、瑕疵提示：</w:t>
      </w:r>
    </w:p>
    <w:p w14:paraId="68A22819">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560" w:firstLineChars="200"/>
        <w:textAlignment w:val="auto"/>
        <w:rPr>
          <w:rFonts w:hint="default"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1.竞租人资格：见公告。</w:t>
      </w:r>
    </w:p>
    <w:p w14:paraId="70B18B61">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560" w:firstLineChars="200"/>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2.按现状拍租，竞租人自行看样。</w:t>
      </w:r>
    </w:p>
    <w:p w14:paraId="2A8E7F19">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次拍租的资产其结构、质量、面积及其他状况等以拍租时的现状为准，如拍租资料与实际（实物）数据不符，不影响成交结果及成交价。竞租人应在拍租会展示期间，实地勘查和详细了解标的物的现状，一旦报名参与竞租，即表明竞租人自愿接受标的物的实际现状，包括可能存在的显性和隐性瑕疵，愿意为此承担相关责任（包括但不限于可能存在的各种不确定的风险）。</w:t>
      </w:r>
    </w:p>
    <w:p w14:paraId="76E3E57F">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b/>
          <w:bCs/>
          <w:color w:val="auto"/>
          <w:sz w:val="28"/>
          <w:szCs w:val="28"/>
          <w:highlight w:val="none"/>
          <w:lang w:val="en-US" w:eastAsia="zh-CN"/>
        </w:rPr>
        <w:t>3.拍品瑕疵不担保提示</w:t>
      </w:r>
      <w:r>
        <w:rPr>
          <w:rFonts w:hint="eastAsia" w:ascii="仿宋" w:hAnsi="仿宋" w:eastAsia="仿宋" w:cs="仿宋"/>
          <w:color w:val="auto"/>
          <w:sz w:val="28"/>
          <w:szCs w:val="28"/>
          <w:highlight w:val="none"/>
          <w:lang w:val="en-US" w:eastAsia="zh-CN"/>
        </w:rPr>
        <w:t>：委托人和拍卖人</w:t>
      </w:r>
      <w:r>
        <w:rPr>
          <w:rFonts w:hint="eastAsia" w:ascii="仿宋" w:hAnsi="仿宋" w:eastAsia="仿宋" w:cs="仿宋"/>
          <w:color w:val="auto"/>
          <w:sz w:val="28"/>
          <w:szCs w:val="28"/>
          <w:highlight w:val="none"/>
          <w:lang w:eastAsia="zh-CN"/>
        </w:rPr>
        <w:t>不承担任何瑕疵担保责任。在公告展示期间，委托人和拍卖人就相关事项提供咨询服务。</w:t>
      </w:r>
    </w:p>
    <w:p w14:paraId="4107815D">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竞</w:t>
      </w:r>
      <w:r>
        <w:rPr>
          <w:rFonts w:hint="eastAsia" w:ascii="仿宋" w:hAnsi="仿宋" w:eastAsia="仿宋" w:cs="仿宋"/>
          <w:color w:val="auto"/>
          <w:sz w:val="28"/>
          <w:szCs w:val="28"/>
          <w:highlight w:val="none"/>
          <w:lang w:val="en-US" w:eastAsia="zh-CN"/>
        </w:rPr>
        <w:t>租</w:t>
      </w:r>
      <w:r>
        <w:rPr>
          <w:rFonts w:hint="eastAsia" w:ascii="仿宋" w:hAnsi="仿宋" w:eastAsia="仿宋" w:cs="仿宋"/>
          <w:color w:val="auto"/>
          <w:sz w:val="28"/>
          <w:szCs w:val="28"/>
          <w:highlight w:val="none"/>
          <w:lang w:eastAsia="zh-CN"/>
        </w:rPr>
        <w:t>人须自行做好尽职调查，竞</w:t>
      </w:r>
      <w:r>
        <w:rPr>
          <w:rFonts w:hint="eastAsia" w:ascii="仿宋" w:hAnsi="仿宋" w:eastAsia="仿宋" w:cs="仿宋"/>
          <w:color w:val="auto"/>
          <w:sz w:val="28"/>
          <w:szCs w:val="28"/>
          <w:highlight w:val="none"/>
          <w:lang w:val="en-US" w:eastAsia="zh-CN"/>
        </w:rPr>
        <w:t>租</w:t>
      </w:r>
      <w:r>
        <w:rPr>
          <w:rFonts w:hint="eastAsia" w:ascii="仿宋" w:hAnsi="仿宋" w:eastAsia="仿宋" w:cs="仿宋"/>
          <w:color w:val="auto"/>
          <w:sz w:val="28"/>
          <w:szCs w:val="28"/>
          <w:highlight w:val="none"/>
          <w:lang w:eastAsia="zh-CN"/>
        </w:rPr>
        <w:t>人参与竞价，即承认拍品现状，如因情况不清造成的后果，责任自负。</w:t>
      </w:r>
    </w:p>
    <w:p w14:paraId="08A762B2">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三、报名手续</w:t>
      </w:r>
    </w:p>
    <w:p w14:paraId="4617A0AF">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firstLine="560" w:firstLineChars="200"/>
        <w:textAlignment w:val="auto"/>
        <w:rPr>
          <w:rFonts w:hint="eastAsia" w:ascii="仿宋" w:hAnsi="仿宋" w:eastAsia="仿宋" w:cs="仿宋"/>
          <w:color w:val="auto"/>
          <w:sz w:val="28"/>
          <w:szCs w:val="28"/>
          <w:highlight w:val="none"/>
          <w:u w:val="none"/>
          <w:lang w:val="en-US" w:eastAsia="zh-CN"/>
        </w:rPr>
      </w:pP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t>竞租人须按公告规定时间及条款，</w:t>
      </w:r>
      <w:r>
        <w:rPr>
          <w:rFonts w:hint="eastAsia" w:ascii="仿宋" w:hAnsi="仿宋" w:eastAsia="仿宋" w:cs="仿宋"/>
          <w:color w:val="auto"/>
          <w:sz w:val="28"/>
          <w:szCs w:val="28"/>
          <w:highlight w:val="none"/>
          <w:u w:val="none"/>
          <w:lang w:val="en-US" w:eastAsia="zh-CN"/>
        </w:rPr>
        <w:t>携带下面资料提前一小时到达拍租会现场办理登记手续：（1）营业执照（副本）及复印件、法定代表人身份证原件及复印件（若委托代理人参与竞租还需提供：授权委托书，代理人身份证原件及复印件）；（2）食品经营许可证、卫生许可证原件及复印件；（3）承诺书；（4） “信用中国”</w:t>
      </w:r>
      <w:r>
        <w:rPr>
          <w:rFonts w:hint="eastAsia" w:ascii="仿宋" w:hAnsi="仿宋" w:eastAsia="仿宋" w:cs="仿宋"/>
          <w:color w:val="auto"/>
          <w:kern w:val="0"/>
          <w:sz w:val="28"/>
          <w:szCs w:val="28"/>
          <w:highlight w:val="none"/>
        </w:rPr>
        <w:t>网站（</w:t>
      </w:r>
      <w:r>
        <w:rPr>
          <w:rFonts w:hint="eastAsia" w:ascii="仿宋" w:hAnsi="仿宋" w:eastAsia="仿宋" w:cs="仿宋"/>
          <w:color w:val="auto"/>
          <w:sz w:val="28"/>
          <w:szCs w:val="28"/>
          <w:highlight w:val="none"/>
          <w:u w:val="none"/>
        </w:rPr>
        <w:fldChar w:fldCharType="begin"/>
      </w:r>
      <w:r>
        <w:rPr>
          <w:rFonts w:hint="eastAsia" w:ascii="仿宋" w:hAnsi="仿宋" w:eastAsia="仿宋" w:cs="仿宋"/>
          <w:color w:val="auto"/>
          <w:sz w:val="28"/>
          <w:szCs w:val="28"/>
          <w:highlight w:val="none"/>
          <w:u w:val="none"/>
        </w:rPr>
        <w:instrText xml:space="preserve"> HYPERLINK "http://www.creditchina.gov.cn）中列入失信被执行人和/" </w:instrText>
      </w:r>
      <w:r>
        <w:rPr>
          <w:rFonts w:hint="eastAsia" w:ascii="仿宋" w:hAnsi="仿宋" w:eastAsia="仿宋" w:cs="仿宋"/>
          <w:color w:val="auto"/>
          <w:sz w:val="28"/>
          <w:szCs w:val="28"/>
          <w:highlight w:val="none"/>
          <w:u w:val="none"/>
        </w:rPr>
        <w:fldChar w:fldCharType="separate"/>
      </w:r>
      <w:r>
        <w:rPr>
          <w:rStyle w:val="8"/>
          <w:rFonts w:hint="eastAsia" w:ascii="仿宋" w:hAnsi="仿宋" w:eastAsia="仿宋" w:cs="仿宋"/>
          <w:color w:val="auto"/>
          <w:kern w:val="0"/>
          <w:sz w:val="28"/>
          <w:szCs w:val="28"/>
          <w:highlight w:val="none"/>
          <w:u w:val="none"/>
        </w:rPr>
        <w:t>www.creditchina.gov.cn）</w:t>
      </w:r>
      <w:r>
        <w:rPr>
          <w:rStyle w:val="8"/>
          <w:rFonts w:hint="eastAsia" w:ascii="仿宋" w:hAnsi="仿宋" w:eastAsia="仿宋" w:cs="仿宋"/>
          <w:color w:val="auto"/>
          <w:kern w:val="0"/>
          <w:sz w:val="28"/>
          <w:szCs w:val="28"/>
          <w:highlight w:val="none"/>
          <w:u w:val="none"/>
        </w:rPr>
        <w:fldChar w:fldCharType="end"/>
      </w:r>
      <w:r>
        <w:rPr>
          <w:rFonts w:hint="eastAsia" w:ascii="仿宋" w:hAnsi="仿宋" w:eastAsia="仿宋" w:cs="仿宋"/>
          <w:color w:val="auto"/>
          <w:sz w:val="28"/>
          <w:szCs w:val="28"/>
          <w:highlight w:val="none"/>
          <w:u w:val="none"/>
          <w:lang w:val="en-US" w:eastAsia="zh-CN"/>
        </w:rPr>
        <w:t>查询截图（查询时间：拍卖公告发布至竞买登记截止日）；（5）经营业绩证明材料（如自营需提供经营场所营业执照及能证明经营场所面积的产权证明材料，如委托管理或承包需提供相应合同）；（6）付款凭证复印件。（7）自行下载公告、竞买须知，签字并加盖公章。（注：所有复印件均需加盖公司公章。）</w:t>
      </w:r>
    </w:p>
    <w:p w14:paraId="63E73356">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竞租人应仔细阅读《拍租公告</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竞租须知》以及委托方提供的《租赁合同（样本）》。竞租人一旦进入拍租会场参与竞价，即视为知悉并自愿遵守和履行本“须知”及《租赁合同》的各项条款。如本“须知”中的内容与《租赁合同》条款相冲突的，以《租赁合同》的表述为准。本“须知”与拍卖师现场宣布的内容有冲突的，以拍卖师现场宣布内容为准，未涉及的相关内容以《租赁合同》为准。竞租人参与竞租即表明接受标的物的现状。拍租会前竞租人须签署《竞租须知》等拍租会文件，</w:t>
      </w:r>
      <w:r>
        <w:rPr>
          <w:rFonts w:hint="eastAsia" w:ascii="仿宋" w:hAnsi="仿宋" w:eastAsia="仿宋" w:cs="仿宋"/>
          <w:color w:val="auto"/>
          <w:sz w:val="28"/>
          <w:szCs w:val="28"/>
          <w:highlight w:val="none"/>
          <w:lang w:eastAsia="zh-CN"/>
        </w:rPr>
        <w:t>竞租人需要</w:t>
      </w:r>
      <w:r>
        <w:rPr>
          <w:rFonts w:hint="eastAsia" w:ascii="仿宋" w:hAnsi="仿宋" w:eastAsia="仿宋" w:cs="仿宋"/>
          <w:color w:val="auto"/>
          <w:sz w:val="28"/>
          <w:szCs w:val="28"/>
          <w:highlight w:val="none"/>
        </w:rPr>
        <w:t>拍租会资料</w:t>
      </w:r>
      <w:r>
        <w:rPr>
          <w:rFonts w:hint="eastAsia" w:ascii="仿宋" w:hAnsi="仿宋" w:eastAsia="仿宋" w:cs="仿宋"/>
          <w:color w:val="auto"/>
          <w:sz w:val="28"/>
          <w:szCs w:val="28"/>
          <w:highlight w:val="none"/>
          <w:lang w:eastAsia="zh-CN"/>
        </w:rPr>
        <w:t>的，自行在叶集区公共资源交易中心官网下载打印</w:t>
      </w:r>
      <w:r>
        <w:rPr>
          <w:rFonts w:hint="eastAsia" w:ascii="仿宋" w:hAnsi="仿宋" w:eastAsia="仿宋" w:cs="仿宋"/>
          <w:color w:val="auto"/>
          <w:sz w:val="28"/>
          <w:szCs w:val="28"/>
          <w:highlight w:val="none"/>
        </w:rPr>
        <w:t>。</w:t>
      </w:r>
    </w:p>
    <w:p w14:paraId="5F1100B6">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四、付款结算：</w:t>
      </w:r>
    </w:p>
    <w:p w14:paraId="3137A2C3">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1.租金一年一付（每年支付租金=3年租金总成交价/3），按照先支付后使用的原则。</w:t>
      </w:r>
    </w:p>
    <w:p w14:paraId="61BB494E">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2.拍租成交后，竞得人须在成交之日起3日内付清第一年租金、租赁押金（第一年租金成交价的20%，具体数额以租赁合同约定为准）至委托方指定账户，成交当日将拍租佣金缴至拍卖公司账户，</w:t>
      </w:r>
      <w:r>
        <w:rPr>
          <w:rFonts w:hint="eastAsia" w:ascii="仿宋" w:hAnsi="仿宋" w:eastAsia="仿宋" w:cs="仿宋"/>
          <w:color w:val="auto"/>
          <w:sz w:val="28"/>
          <w:szCs w:val="28"/>
          <w:highlight w:val="none"/>
        </w:rPr>
        <w:t>佣金按照</w:t>
      </w:r>
      <w:r>
        <w:rPr>
          <w:rFonts w:hint="eastAsia" w:ascii="仿宋" w:hAnsi="仿宋" w:eastAsia="仿宋" w:cs="仿宋"/>
          <w:color w:val="auto"/>
          <w:sz w:val="28"/>
          <w:szCs w:val="28"/>
          <w:highlight w:val="none"/>
          <w:lang w:eastAsia="zh-CN"/>
        </w:rPr>
        <w:t>一年</w:t>
      </w:r>
      <w:r>
        <w:rPr>
          <w:rFonts w:hint="eastAsia" w:ascii="仿宋" w:hAnsi="仿宋" w:eastAsia="仿宋" w:cs="仿宋"/>
          <w:color w:val="auto"/>
          <w:sz w:val="28"/>
          <w:szCs w:val="28"/>
          <w:highlight w:val="none"/>
        </w:rPr>
        <w:t>租金成交价的</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收取</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1年租金成交价=3年租金总成交价/3）</w:t>
      </w:r>
      <w:r>
        <w:rPr>
          <w:rFonts w:hint="eastAsia" w:ascii="仿宋" w:hAnsi="仿宋" w:eastAsia="仿宋" w:cs="仿宋"/>
          <w:color w:val="auto"/>
          <w:sz w:val="28"/>
          <w:szCs w:val="28"/>
          <w:highlight w:val="none"/>
          <w:lang w:val="en-US" w:eastAsia="zh-CN"/>
        </w:rPr>
        <w:t>。缴清价款后到拍卖公司拿取拍租成交确认书，凭拍租成交确认书在3日内与委托人签订《租赁合同》。</w:t>
      </w:r>
    </w:p>
    <w:p w14:paraId="45BF3313">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eastAsia="zh-CN"/>
        </w:rPr>
        <w:t>3.</w:t>
      </w:r>
      <w:r>
        <w:rPr>
          <w:rFonts w:hint="eastAsia" w:ascii="仿宋" w:hAnsi="仿宋" w:eastAsia="仿宋" w:cs="仿宋"/>
          <w:color w:val="auto"/>
          <w:sz w:val="28"/>
          <w:szCs w:val="28"/>
          <w:highlight w:val="none"/>
        </w:rPr>
        <w:t>《租赁合同》签订后，如承租方提前退租，或因承租方原因变更、解除或终止租赁合同，或承租方将</w:t>
      </w:r>
      <w:r>
        <w:rPr>
          <w:rFonts w:hint="eastAsia" w:ascii="仿宋" w:hAnsi="仿宋" w:eastAsia="仿宋" w:cs="仿宋"/>
          <w:color w:val="auto"/>
          <w:sz w:val="28"/>
          <w:szCs w:val="28"/>
          <w:highlight w:val="none"/>
          <w:lang w:eastAsia="zh-CN"/>
        </w:rPr>
        <w:t>房产</w:t>
      </w:r>
      <w:r>
        <w:rPr>
          <w:rFonts w:hint="eastAsia" w:ascii="仿宋" w:hAnsi="仿宋" w:eastAsia="仿宋" w:cs="仿宋"/>
          <w:color w:val="auto"/>
          <w:sz w:val="28"/>
          <w:szCs w:val="28"/>
          <w:highlight w:val="none"/>
        </w:rPr>
        <w:t>转包转租转借他人，按照承租方和委托方签订的《租赁合同》的相关条款处理。</w:t>
      </w:r>
    </w:p>
    <w:p w14:paraId="41473BE7">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五、违约责任</w:t>
      </w:r>
    </w:p>
    <w:p w14:paraId="63443826">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竞得人如不能按期付清标的价款、租赁押金及拍租佣金，不能按期与委托方签订租赁合同，均视为违约，保证金不予退还，竞得人自动放弃该标的所有权利，拍卖人和委托人有权利另行处理拍品并按照拍卖法第39条的规定向竞得人要求赔偿由此造成的其他损失。</w:t>
      </w:r>
      <w:r>
        <w:rPr>
          <w:rFonts w:hint="eastAsia" w:ascii="仿宋" w:hAnsi="仿宋" w:eastAsia="仿宋" w:cs="仿宋"/>
          <w:color w:val="auto"/>
          <w:sz w:val="28"/>
          <w:szCs w:val="28"/>
          <w:highlight w:val="none"/>
          <w:lang w:eastAsia="zh-CN"/>
        </w:rPr>
        <w:t>违约责任按</w:t>
      </w:r>
      <w:r>
        <w:rPr>
          <w:rFonts w:hint="eastAsia" w:ascii="仿宋" w:hAnsi="仿宋" w:eastAsia="仿宋" w:cs="仿宋"/>
          <w:color w:val="auto"/>
          <w:sz w:val="28"/>
          <w:szCs w:val="28"/>
          <w:highlight w:val="none"/>
          <w:lang w:val="en-US" w:eastAsia="zh-CN"/>
        </w:rPr>
        <w:t>一年</w:t>
      </w:r>
      <w:r>
        <w:rPr>
          <w:rFonts w:hint="eastAsia" w:ascii="仿宋" w:hAnsi="仿宋" w:eastAsia="仿宋" w:cs="仿宋"/>
          <w:color w:val="auto"/>
          <w:sz w:val="28"/>
          <w:szCs w:val="28"/>
          <w:highlight w:val="none"/>
          <w:lang w:eastAsia="zh-CN"/>
        </w:rPr>
        <w:t>租金成交价的</w:t>
      </w:r>
      <w:r>
        <w:rPr>
          <w:rFonts w:hint="eastAsia" w:ascii="仿宋" w:hAnsi="仿宋" w:eastAsia="仿宋" w:cs="仿宋"/>
          <w:color w:val="auto"/>
          <w:sz w:val="28"/>
          <w:szCs w:val="28"/>
          <w:highlight w:val="none"/>
          <w:lang w:val="en-US" w:eastAsia="zh-CN"/>
        </w:rPr>
        <w:t>20%计算。</w:t>
      </w:r>
    </w:p>
    <w:p w14:paraId="050AAC2D">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六、拍租会流程</w:t>
      </w:r>
    </w:p>
    <w:p w14:paraId="75B34AF6">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1.拍卖会开始后，拍卖师宣布拍卖规则及注意事项，并在宣布起拍价和加价幅度后，开始竞拍。竞租人一经应价，不得反悔。但有更高应价时，其应价将失去效力。</w:t>
      </w:r>
    </w:p>
    <w:p w14:paraId="7270A6D4">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本次拍卖为增价式拍卖，拍卖师宣布起拍价和加价幅度后，每举一次号牌，表明增加一个加价幅度。拍卖师有权根据现场竞价情况调整加价幅度。竞租人也可超过一个加价幅度应价。若两个或更多的竞租人同时报同一价，以拍卖师当场点号为准。</w:t>
      </w:r>
    </w:p>
    <w:p w14:paraId="35C3ED54">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3.当场上无人加价时，经拍卖师三声报价后，再无人加价，并且场上最高报价达到或超过规定的底价，拍卖师以落槌表示成交。成交后竞得人应签署《成交确认书》和拍卖笔录。</w:t>
      </w:r>
    </w:p>
    <w:p w14:paraId="56247A69">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4.竞租人没有举号牌或以其他方式应价的无效，也不得拿非本公司号牌应价，号牌不得转让他人使用，若他人举牌应价，造成后果由转让者负责。</w:t>
      </w:r>
    </w:p>
    <w:p w14:paraId="1ADC264D">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5.竞得人不得拒签《成交确认书》，否则视为违约。成交后反悔的，保证金不予退还，并按相关规定追究违约方的责任。</w:t>
      </w:r>
    </w:p>
    <w:p w14:paraId="50B31D5F">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6.拍租会结束后，竞租人应交回号牌方可离场。</w:t>
      </w:r>
    </w:p>
    <w:p w14:paraId="4C526E93">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2" w:firstLineChars="200"/>
        <w:textAlignment w:val="auto"/>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七、特别说明</w:t>
      </w:r>
    </w:p>
    <w:p w14:paraId="094F994D">
      <w:pPr>
        <w:keepNext w:val="0"/>
        <w:keepLines w:val="0"/>
        <w:pageBreakBefore w:val="0"/>
        <w:kinsoku/>
        <w:wordWrap/>
        <w:overflowPunct/>
        <w:topLinePunct w:val="0"/>
        <w:autoSpaceDE/>
        <w:autoSpaceDN/>
        <w:bidi w:val="0"/>
        <w:adjustRightInd/>
        <w:snapToGrid/>
        <w:spacing w:line="520" w:lineRule="exact"/>
        <w:ind w:firstLine="560" w:firstLineChars="200"/>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1.承租人可自行装潢承租房屋但不得擅自拆改、变动房屋的主体结构、承重结构或改变房屋的规划用途。委托人不承担承租人因此装修产生的任何费用。</w:t>
      </w:r>
    </w:p>
    <w:p w14:paraId="594FE160">
      <w:pPr>
        <w:keepNext w:val="0"/>
        <w:keepLines w:val="0"/>
        <w:pageBreakBefore w:val="0"/>
        <w:kinsoku/>
        <w:wordWrap/>
        <w:overflowPunct/>
        <w:topLinePunct w:val="0"/>
        <w:autoSpaceDE/>
        <w:autoSpaceDN/>
        <w:bidi w:val="0"/>
        <w:adjustRightInd/>
        <w:snapToGrid/>
        <w:spacing w:line="520" w:lineRule="exact"/>
        <w:ind w:firstLine="560" w:firstLineChars="200"/>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2.承租人在租赁期间的装潢包括附着物和附属物的费用，租赁期限届满时委托人不予认可，承租人不得以任何理由要求委托人给予任何补偿。</w:t>
      </w:r>
    </w:p>
    <w:p w14:paraId="50C1D25F">
      <w:pPr>
        <w:keepNext w:val="0"/>
        <w:keepLines w:val="0"/>
        <w:pageBreakBefore w:val="0"/>
        <w:kinsoku/>
        <w:wordWrap/>
        <w:overflowPunct/>
        <w:topLinePunct w:val="0"/>
        <w:autoSpaceDE/>
        <w:autoSpaceDN/>
        <w:bidi w:val="0"/>
        <w:adjustRightInd/>
        <w:snapToGrid/>
        <w:spacing w:line="520" w:lineRule="exact"/>
        <w:ind w:firstLine="560" w:firstLineChars="200"/>
        <w:jc w:val="left"/>
        <w:textAlignment w:val="auto"/>
        <w:rPr>
          <w:rFonts w:hint="default" w:ascii="仿宋" w:hAnsi="仿宋" w:eastAsia="仿宋" w:cs="仿宋"/>
          <w:i w:val="0"/>
          <w:iCs w:val="0"/>
          <w:caps w:val="0"/>
          <w:color w:val="auto"/>
          <w:spacing w:val="0"/>
          <w:kern w:val="0"/>
          <w:sz w:val="28"/>
          <w:szCs w:val="28"/>
          <w:highlight w:val="none"/>
          <w:shd w:val="clear" w:color="auto" w:fill="FFFFFF"/>
          <w:lang w:val="en-US" w:eastAsia="zh-CN" w:bidi="ar"/>
        </w:rPr>
      </w:pPr>
      <w:r>
        <w:rPr>
          <w:rFonts w:hint="eastAsia" w:ascii="仿宋" w:hAnsi="仿宋" w:eastAsia="仿宋" w:cs="仿宋"/>
          <w:color w:val="auto"/>
          <w:sz w:val="28"/>
          <w:szCs w:val="28"/>
          <w:highlight w:val="none"/>
          <w:lang w:val="en-US" w:eastAsia="zh-CN"/>
        </w:rPr>
        <w:t>3</w:t>
      </w:r>
      <w:r>
        <w:rPr>
          <w:rFonts w:hint="eastAsia" w:ascii="仿宋" w:hAnsi="仿宋" w:eastAsia="仿宋" w:cs="仿宋"/>
          <w:i w:val="0"/>
          <w:iCs w:val="0"/>
          <w:caps w:val="0"/>
          <w:color w:val="auto"/>
          <w:spacing w:val="0"/>
          <w:kern w:val="0"/>
          <w:sz w:val="28"/>
          <w:szCs w:val="28"/>
          <w:highlight w:val="none"/>
          <w:shd w:val="clear" w:color="auto" w:fill="FFFFFF"/>
          <w:lang w:val="en-US" w:eastAsia="zh-CN" w:bidi="ar"/>
        </w:rPr>
        <w:t xml:space="preserve">.承租人与原承租人对承租标的产生纠纷的，由委托人进行协商解决。                          </w:t>
      </w:r>
    </w:p>
    <w:p w14:paraId="11F03756">
      <w:pPr>
        <w:keepNext w:val="0"/>
        <w:keepLines w:val="0"/>
        <w:pageBreakBefore w:val="0"/>
        <w:kinsoku/>
        <w:wordWrap/>
        <w:overflowPunct/>
        <w:topLinePunct w:val="0"/>
        <w:autoSpaceDE/>
        <w:autoSpaceDN/>
        <w:bidi w:val="0"/>
        <w:adjustRightInd/>
        <w:snapToGrid/>
        <w:spacing w:line="520" w:lineRule="exact"/>
        <w:ind w:firstLine="560" w:firstLineChars="200"/>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4.委托人有权对承租方服务区域的环境卫生及住宿餐饮服务进行监督指导，提出整改意见。</w:t>
      </w:r>
    </w:p>
    <w:p w14:paraId="0E026F24">
      <w:pPr>
        <w:keepNext w:val="0"/>
        <w:keepLines w:val="0"/>
        <w:pageBreakBefore w:val="0"/>
        <w:kinsoku/>
        <w:wordWrap/>
        <w:overflowPunct/>
        <w:topLinePunct w:val="0"/>
        <w:autoSpaceDE/>
        <w:autoSpaceDN/>
        <w:bidi w:val="0"/>
        <w:adjustRightInd/>
        <w:snapToGrid/>
        <w:spacing w:line="520" w:lineRule="exact"/>
        <w:ind w:firstLine="560" w:firstLineChars="200"/>
        <w:jc w:val="left"/>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5.经营期内交付的公共设施设备（电梯、中央空调等）及委托人移交的其他设备、设施、物品等出现问题，需要维修的，由承租方负责维修，费用由承租人承担，使用期间如出现损坏或丢失等情况，由承租人承担赔偿责任（拍租成交后，委托人出具移交清单，承租人核实后签字确认）。</w:t>
      </w:r>
    </w:p>
    <w:p w14:paraId="3F43F042">
      <w:pPr>
        <w:keepNext w:val="0"/>
        <w:keepLines w:val="0"/>
        <w:pageBreakBefore w:val="0"/>
        <w:kinsoku/>
        <w:wordWrap/>
        <w:overflowPunct/>
        <w:topLinePunct w:val="0"/>
        <w:autoSpaceDE/>
        <w:autoSpaceDN/>
        <w:bidi w:val="0"/>
        <w:adjustRightInd/>
        <w:snapToGrid/>
        <w:spacing w:line="520" w:lineRule="exact"/>
        <w:ind w:firstLine="560" w:firstLineChars="200"/>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6.委托人安排培训人员数量入住必须提前一周报备，承租方针对人员数量进行安排。</w:t>
      </w:r>
    </w:p>
    <w:p w14:paraId="2FA4026D">
      <w:pPr>
        <w:keepNext w:val="0"/>
        <w:keepLines w:val="0"/>
        <w:pageBreakBefore w:val="0"/>
        <w:kinsoku/>
        <w:wordWrap/>
        <w:overflowPunct/>
        <w:topLinePunct w:val="0"/>
        <w:autoSpaceDE/>
        <w:autoSpaceDN/>
        <w:bidi w:val="0"/>
        <w:adjustRightInd/>
        <w:snapToGrid/>
        <w:spacing w:line="520" w:lineRule="exact"/>
        <w:ind w:firstLine="560" w:firstLineChars="200"/>
        <w:jc w:val="left"/>
        <w:textAlignment w:val="auto"/>
        <w:rPr>
          <w:rFonts w:hint="default" w:ascii="仿宋" w:hAnsi="仿宋" w:eastAsia="仿宋" w:cs="仿宋"/>
          <w:color w:val="auto"/>
          <w:sz w:val="28"/>
          <w:szCs w:val="28"/>
          <w:highlight w:val="none"/>
          <w:lang w:val="en-US" w:eastAsia="zh-CN"/>
        </w:rPr>
      </w:pPr>
      <w:r>
        <w:rPr>
          <w:rFonts w:hint="default" w:ascii="仿宋" w:hAnsi="仿宋" w:eastAsia="仿宋" w:cs="仿宋"/>
          <w:color w:val="auto"/>
          <w:sz w:val="28"/>
          <w:szCs w:val="28"/>
          <w:highlight w:val="none"/>
          <w:lang w:val="en-US" w:eastAsia="zh-CN"/>
        </w:rPr>
        <mc:AlternateContent>
          <mc:Choice Requires="wps">
            <w:drawing>
              <wp:anchor distT="0" distB="0" distL="114300" distR="114300" simplePos="0" relativeHeight="251659264" behindDoc="0" locked="0" layoutInCell="1" allowOverlap="1">
                <wp:simplePos x="0" y="0"/>
                <wp:positionH relativeFrom="column">
                  <wp:posOffset>6120765</wp:posOffset>
                </wp:positionH>
                <wp:positionV relativeFrom="paragraph">
                  <wp:posOffset>242570</wp:posOffset>
                </wp:positionV>
                <wp:extent cx="48895" cy="56515"/>
                <wp:effectExtent l="0" t="0" r="0" b="0"/>
                <wp:wrapNone/>
                <wp:docPr id="1" name="文本框 1"/>
                <wp:cNvGraphicFramePr/>
                <a:graphic xmlns:a="http://schemas.openxmlformats.org/drawingml/2006/main">
                  <a:graphicData uri="http://schemas.microsoft.com/office/word/2010/wordprocessingShape">
                    <wps:wsp>
                      <wps:cNvSpPr txBox="1"/>
                      <wps:spPr>
                        <a:xfrm>
                          <a:off x="0" y="0"/>
                          <a:ext cx="48895" cy="56515"/>
                        </a:xfrm>
                        <a:prstGeom prst="rect">
                          <a:avLst/>
                        </a:prstGeom>
                        <a:noFill/>
                        <a:ln>
                          <a:noFill/>
                        </a:ln>
                      </wps:spPr>
                      <wps:txbx>
                        <w:txbxContent>
                          <w:p w14:paraId="7DFC1199">
                            <w:pPr>
                              <w:spacing w:before="19" w:line="224" w:lineRule="auto"/>
                              <w:ind w:left="20"/>
                              <w:rPr>
                                <w:rFonts w:ascii="黑体" w:hAnsi="黑体" w:eastAsia="黑体" w:cs="黑体"/>
                                <w:sz w:val="4"/>
                                <w:szCs w:val="4"/>
                              </w:rPr>
                            </w:pPr>
                            <w:r>
                              <w:rPr>
                                <w:rFonts w:ascii="黑体" w:hAnsi="黑体" w:eastAsia="黑体" w:cs="黑体"/>
                                <w:sz w:val="4"/>
                                <w:szCs w:val="4"/>
                              </w:rPr>
                              <w:t>小</w:t>
                            </w:r>
                          </w:p>
                        </w:txbxContent>
                      </wps:txbx>
                      <wps:bodyPr lIns="0" tIns="0" rIns="0" bIns="0" upright="1"/>
                    </wps:wsp>
                  </a:graphicData>
                </a:graphic>
              </wp:anchor>
            </w:drawing>
          </mc:Choice>
          <mc:Fallback>
            <w:pict>
              <v:shape id="_x0000_s1026" o:spid="_x0000_s1026" o:spt="202" type="#_x0000_t202" style="position:absolute;left:0pt;margin-left:481.95pt;margin-top:19.1pt;height:4.45pt;width:3.85pt;z-index:251659264;mso-width-relative:page;mso-height-relative:page;" filled="f" stroked="f" coordsize="21600,21600" o:gfxdata="UEsDBAoAAAAAAIdO4kAAAAAAAAAAAAAAAAAEAAAAZHJzL1BLAwQUAAAACACHTuJA20Iuj9kAAAAJ&#10;AQAADwAAAGRycy9kb3ducmV2LnhtbE2Py07DMBBF90j8gzVI7KidFqVNyKRCCFZIiDQsWDrxNIka&#10;j0PsPvh7zAqWo3t075lie7GjONHsB8cIyUKBIG6dGbhD+Khf7jYgfNBs9OiYEL7Jw7a8vip0btyZ&#10;KzrtQidiCftcI/QhTLmUvu3Jar9wE3HM9m62OsRz7qSZ9TmW21EulUql1QPHhV5P9NRTe9gdLcLj&#10;J1fPw9db817tq6GuM8Wv6QHx9iZRDyACXcIfDL/6UR3K6NS4IxsvRoQsXWURRVhtliAikK2TFESD&#10;cL9OQJaF/P9B+QNQSwMEFAAAAAgAh07iQP3X8zu5AQAAbwMAAA4AAABkcnMvZTJvRG9jLnhtbK1T&#10;S27bMBDdF8gdCO5j2kEduILlAIWRIEDRFkhzAJoiLQL8YUhb8gXaG3TVTfc9l8/RISU7bbLJIhtq&#10;NDN6894bannTW0P2EqL2rqazyZQS6YRvtNvW9PHb7eWCkpi4a7jxTtb0ICO9WV28W3ahkle+9aaR&#10;QBDExaoLNW1TChVjUbTS8jjxQTosKg+WJ3yFLWuAd4huDbuaTq9Z56EJ4IWMEbProUhHRHgNoFdK&#10;C7n2YmelSwMqSMMTSoqtDpGuClulpEhflIoyEVNTVJrKiUMw3uSTrZa82gIPrRYjBf4aCs80Wa4d&#10;Dj1DrXniZAf6BZTVAnz0Kk2Et2wQUhxBFbPpM28eWh5k0YJWx3A2Pb4drPi8/wpEN3gTKHHc4sKP&#10;P38cf/05/v5OZtmeLsQKux4C9qX+o+9z65iPmMyqewU2P1EPwTqaezibK/tEBCbfLxYf5pQIrMyv&#10;57N5xmBPnwaI6U56S3JQU8DNFUP5/lNMQ+upJU9y/lYbg3leGfdfAjFzhmXeA78cpX7Tj6Q3vjmg&#10;FnPv0Md8J04BnILNKdgF0NsW6RTFBRL3UHiPdyYv+t/3MvjpP1n9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NtCLo/ZAAAACQEAAA8AAAAAAAAAAQAgAAAAIgAAAGRycy9kb3ducmV2LnhtbFBLAQIU&#10;ABQAAAAIAIdO4kD91/M7uQEAAG8DAAAOAAAAAAAAAAEAIAAAACgBAABkcnMvZTJvRG9jLnhtbFBL&#10;BQYAAAAABgAGAFkBAABTBQAAAAA=&#10;">
                <v:fill on="f" focussize="0,0"/>
                <v:stroke on="f"/>
                <v:imagedata o:title=""/>
                <o:lock v:ext="edit" aspectratio="f"/>
                <v:textbox inset="0mm,0mm,0mm,0mm">
                  <w:txbxContent>
                    <w:p w14:paraId="7DFC1199">
                      <w:pPr>
                        <w:spacing w:before="19" w:line="224" w:lineRule="auto"/>
                        <w:ind w:left="20"/>
                        <w:rPr>
                          <w:rFonts w:ascii="黑体" w:hAnsi="黑体" w:eastAsia="黑体" w:cs="黑体"/>
                          <w:sz w:val="4"/>
                          <w:szCs w:val="4"/>
                        </w:rPr>
                      </w:pPr>
                      <w:r>
                        <w:rPr>
                          <w:rFonts w:ascii="黑体" w:hAnsi="黑体" w:eastAsia="黑体" w:cs="黑体"/>
                          <w:sz w:val="4"/>
                          <w:szCs w:val="4"/>
                        </w:rPr>
                        <w:t>小</w:t>
                      </w:r>
                    </w:p>
                  </w:txbxContent>
                </v:textbox>
              </v:shape>
            </w:pict>
          </mc:Fallback>
        </mc:AlternateContent>
      </w:r>
      <w:r>
        <w:rPr>
          <w:rFonts w:hint="eastAsia" w:ascii="仿宋" w:hAnsi="仿宋" w:eastAsia="仿宋" w:cs="仿宋"/>
          <w:color w:val="auto"/>
          <w:sz w:val="28"/>
          <w:szCs w:val="28"/>
          <w:highlight w:val="none"/>
          <w:lang w:val="en-US" w:eastAsia="zh-CN"/>
        </w:rPr>
        <w:t>7. 委托人预留</w:t>
      </w:r>
      <w:r>
        <w:rPr>
          <w:rFonts w:hint="eastAsia" w:ascii="仿宋" w:hAnsi="仿宋" w:eastAsia="仿宋" w:cs="仿宋"/>
          <w:b w:val="0"/>
          <w:bCs w:val="0"/>
          <w:color w:val="auto"/>
          <w:sz w:val="28"/>
          <w:szCs w:val="28"/>
          <w:highlight w:val="none"/>
          <w:lang w:val="en-US" w:eastAsia="zh-CN"/>
        </w:rPr>
        <w:t>六安市叶集职业学校培训中心</w:t>
      </w:r>
      <w:r>
        <w:rPr>
          <w:rFonts w:hint="eastAsia" w:ascii="仿宋" w:hAnsi="仿宋" w:eastAsia="仿宋" w:cs="仿宋"/>
          <w:color w:val="auto"/>
          <w:sz w:val="28"/>
          <w:szCs w:val="28"/>
          <w:highlight w:val="none"/>
          <w:lang w:val="en-US" w:eastAsia="zh-CN"/>
        </w:rPr>
        <w:t>第四层宾馆房间给校内老师和皖西学院教授住宿，收费标准为校内老师60元/月/人，皖西学院教授为150元/天/人，该费用支付给承租方账户。</w:t>
      </w:r>
    </w:p>
    <w:p w14:paraId="4F14D19C">
      <w:pPr>
        <w:keepNext w:val="0"/>
        <w:keepLines w:val="0"/>
        <w:pageBreakBefore w:val="0"/>
        <w:kinsoku/>
        <w:wordWrap/>
        <w:overflowPunct/>
        <w:topLinePunct w:val="0"/>
        <w:autoSpaceDE/>
        <w:autoSpaceDN/>
        <w:bidi w:val="0"/>
        <w:adjustRightInd/>
        <w:snapToGrid/>
        <w:spacing w:line="520" w:lineRule="exact"/>
        <w:ind w:firstLine="560" w:firstLineChars="200"/>
        <w:jc w:val="left"/>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8.承租人经营过程中涉及的物品、设备、设施均由承租方自行购买使用，出租人不承担相关费用。水电费等由委托人据实结算按月向承租方收取。</w:t>
      </w:r>
    </w:p>
    <w:p w14:paraId="06E39689">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八、拍卖人不因竞得人及委托人的违约行为而承担违约责任。委托人在拍卖会开始前有权中止或撤回标的，拍卖人根据委托人的通知，无息退还竞租人的竞租保证金，委托人、拍卖人不承担任何责任。</w:t>
      </w:r>
    </w:p>
    <w:p w14:paraId="1EE86698">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九、竞租成交后，不得转租，要求合法经营，并服从业主单位、相关部门的管理，按时足额缴纳各项费用，同时确保租期内安全经营。</w:t>
      </w:r>
    </w:p>
    <w:p w14:paraId="4DF9C704">
      <w:pPr>
        <w:keepNext w:val="0"/>
        <w:keepLines w:val="0"/>
        <w:pageBreakBefore w:val="0"/>
        <w:kinsoku/>
        <w:wordWrap/>
        <w:overflowPunct/>
        <w:topLinePunct w:val="0"/>
        <w:autoSpaceDE/>
        <w:autoSpaceDN/>
        <w:bidi w:val="0"/>
        <w:adjustRightInd/>
        <w:snapToGrid/>
        <w:spacing w:line="520" w:lineRule="exact"/>
        <w:ind w:firstLine="560" w:firstLineChars="200"/>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十、承租人在租赁期间的装饰、装修，包括附着物和附属物，租赁期结束后按合同约定属于乙方可移走的物品同时移走，逾期未移走的，视为乙方废弃物，委托人有权处置，承租人不得要求委托人给予任何赔偿。</w:t>
      </w:r>
    </w:p>
    <w:p w14:paraId="5F5E21E3">
      <w:pPr>
        <w:keepNext w:val="0"/>
        <w:keepLines w:val="0"/>
        <w:pageBreakBefore w:val="0"/>
        <w:kinsoku/>
        <w:wordWrap/>
        <w:overflowPunct/>
        <w:topLinePunct w:val="0"/>
        <w:autoSpaceDE/>
        <w:autoSpaceDN/>
        <w:bidi w:val="0"/>
        <w:adjustRightInd/>
        <w:snapToGrid/>
        <w:spacing w:line="520" w:lineRule="exact"/>
        <w:ind w:firstLine="560" w:firstLineChars="200"/>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十一</w:t>
      </w:r>
      <w:r>
        <w:rPr>
          <w:rFonts w:hint="eastAsia" w:ascii="仿宋" w:hAnsi="仿宋" w:eastAsia="仿宋" w:cs="仿宋"/>
          <w:color w:val="auto"/>
          <w:sz w:val="28"/>
          <w:szCs w:val="28"/>
          <w:highlight w:val="none"/>
        </w:rPr>
        <w:t>、租赁期内，承租</w:t>
      </w:r>
      <w:r>
        <w:rPr>
          <w:rFonts w:hint="eastAsia" w:ascii="仿宋" w:hAnsi="仿宋" w:eastAsia="仿宋" w:cs="仿宋"/>
          <w:color w:val="auto"/>
          <w:sz w:val="28"/>
          <w:szCs w:val="28"/>
          <w:highlight w:val="none"/>
          <w:lang w:eastAsia="zh-CN"/>
        </w:rPr>
        <w:t>人是</w:t>
      </w:r>
      <w:r>
        <w:rPr>
          <w:rFonts w:hint="eastAsia" w:ascii="仿宋" w:hAnsi="仿宋" w:eastAsia="仿宋" w:cs="仿宋"/>
          <w:color w:val="auto"/>
          <w:sz w:val="28"/>
          <w:szCs w:val="28"/>
          <w:highlight w:val="none"/>
        </w:rPr>
        <w:t>所租资产</w:t>
      </w:r>
      <w:r>
        <w:rPr>
          <w:rFonts w:hint="eastAsia" w:ascii="仿宋" w:hAnsi="仿宋" w:eastAsia="仿宋" w:cs="仿宋"/>
          <w:color w:val="auto"/>
          <w:sz w:val="28"/>
          <w:szCs w:val="28"/>
          <w:highlight w:val="none"/>
          <w:lang w:eastAsia="zh-CN"/>
        </w:rPr>
        <w:t>的实际控制人，承租人应当妥善使用资</w:t>
      </w:r>
      <w:r>
        <w:rPr>
          <w:rFonts w:hint="eastAsia" w:ascii="仿宋" w:hAnsi="仿宋" w:eastAsia="仿宋" w:cs="仿宋"/>
          <w:color w:val="auto"/>
          <w:sz w:val="28"/>
          <w:szCs w:val="28"/>
          <w:highlight w:val="none"/>
          <w:lang w:val="en-US" w:eastAsia="zh-CN"/>
        </w:rPr>
        <w:t>产，由</w:t>
      </w:r>
      <w:r>
        <w:rPr>
          <w:rFonts w:hint="eastAsia" w:ascii="仿宋" w:hAnsi="仿宋" w:eastAsia="仿宋" w:cs="仿宋"/>
          <w:color w:val="auto"/>
          <w:sz w:val="28"/>
          <w:szCs w:val="28"/>
          <w:highlight w:val="none"/>
          <w:lang w:eastAsia="zh-CN"/>
        </w:rPr>
        <w:t>此造成自身或他人人身伤害或财产损失的，由承租人自行负责。</w:t>
      </w:r>
    </w:p>
    <w:p w14:paraId="0F2E4E7C">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十二</w:t>
      </w:r>
      <w:r>
        <w:rPr>
          <w:rFonts w:hint="eastAsia" w:ascii="仿宋" w:hAnsi="仿宋" w:eastAsia="仿宋" w:cs="仿宋"/>
          <w:color w:val="auto"/>
          <w:sz w:val="28"/>
          <w:szCs w:val="28"/>
          <w:highlight w:val="none"/>
        </w:rPr>
        <w:t>、在租赁期内，如遇不可</w:t>
      </w:r>
      <w:r>
        <w:rPr>
          <w:rFonts w:hint="eastAsia" w:ascii="仿宋" w:hAnsi="仿宋" w:eastAsia="仿宋" w:cs="仿宋"/>
          <w:color w:val="auto"/>
          <w:sz w:val="28"/>
          <w:szCs w:val="28"/>
          <w:highlight w:val="none"/>
          <w:lang w:eastAsia="zh-CN"/>
        </w:rPr>
        <w:t>抗力</w:t>
      </w:r>
      <w:r>
        <w:rPr>
          <w:rFonts w:hint="eastAsia" w:ascii="仿宋" w:hAnsi="仿宋" w:eastAsia="仿宋" w:cs="仿宋"/>
          <w:color w:val="auto"/>
          <w:sz w:val="28"/>
          <w:szCs w:val="28"/>
          <w:highlight w:val="none"/>
        </w:rPr>
        <w:t>因素，或因规划需要而拆迁，承租人应无条件让出，租金按照双方签订的租赁合同计算，委托人不</w:t>
      </w:r>
      <w:r>
        <w:rPr>
          <w:rFonts w:hint="eastAsia" w:ascii="仿宋" w:hAnsi="仿宋" w:eastAsia="仿宋" w:cs="仿宋"/>
          <w:color w:val="auto"/>
          <w:sz w:val="28"/>
          <w:szCs w:val="28"/>
          <w:highlight w:val="none"/>
          <w:lang w:eastAsia="zh-CN"/>
        </w:rPr>
        <w:t>承担其他任何</w:t>
      </w:r>
      <w:r>
        <w:rPr>
          <w:rFonts w:hint="eastAsia" w:ascii="仿宋" w:hAnsi="仿宋" w:eastAsia="仿宋" w:cs="仿宋"/>
          <w:color w:val="auto"/>
          <w:sz w:val="28"/>
          <w:szCs w:val="28"/>
          <w:highlight w:val="none"/>
        </w:rPr>
        <w:t>赔偿责任。</w:t>
      </w:r>
    </w:p>
    <w:p w14:paraId="24D1F49D">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十</w:t>
      </w:r>
      <w:r>
        <w:rPr>
          <w:rFonts w:hint="eastAsia" w:ascii="仿宋" w:hAnsi="仿宋" w:eastAsia="仿宋" w:cs="仿宋"/>
          <w:color w:val="auto"/>
          <w:sz w:val="28"/>
          <w:szCs w:val="28"/>
          <w:highlight w:val="none"/>
          <w:lang w:val="en-US" w:eastAsia="zh-CN"/>
        </w:rPr>
        <w:t>三</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eastAsia="zh-CN"/>
        </w:rPr>
        <w:t>其他</w:t>
      </w:r>
      <w:r>
        <w:rPr>
          <w:rFonts w:hint="eastAsia" w:ascii="仿宋" w:hAnsi="仿宋" w:eastAsia="仿宋" w:cs="仿宋"/>
          <w:color w:val="auto"/>
          <w:sz w:val="28"/>
          <w:szCs w:val="28"/>
          <w:highlight w:val="none"/>
        </w:rPr>
        <w:t>事项由委托人与承租人在《租赁合同》中另行约定。一旦参与竞租，即表示竞租人已阅读并认可委托人拟定的《租赁合同》。</w:t>
      </w:r>
    </w:p>
    <w:p w14:paraId="62C5D695">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十</w:t>
      </w:r>
      <w:r>
        <w:rPr>
          <w:rFonts w:hint="eastAsia" w:ascii="仿宋" w:hAnsi="仿宋" w:eastAsia="仿宋" w:cs="仿宋"/>
          <w:color w:val="auto"/>
          <w:sz w:val="28"/>
          <w:szCs w:val="28"/>
          <w:highlight w:val="none"/>
          <w:lang w:val="en-US" w:eastAsia="zh-CN"/>
        </w:rPr>
        <w:t>四</w:t>
      </w:r>
      <w:r>
        <w:rPr>
          <w:rFonts w:hint="eastAsia" w:ascii="仿宋" w:hAnsi="仿宋" w:eastAsia="仿宋" w:cs="仿宋"/>
          <w:color w:val="auto"/>
          <w:sz w:val="28"/>
          <w:szCs w:val="28"/>
          <w:highlight w:val="none"/>
        </w:rPr>
        <w:t>、本竞租人已详细阅读并完全理解本竞租须知内容，愿意遵循《竞租须知》中所有条款，如因个人原因造成违约或违反《竞租须知》</w:t>
      </w:r>
      <w:r>
        <w:rPr>
          <w:rFonts w:hint="eastAsia" w:ascii="仿宋" w:hAnsi="仿宋" w:eastAsia="仿宋" w:cs="仿宋"/>
          <w:color w:val="auto"/>
          <w:sz w:val="28"/>
          <w:szCs w:val="28"/>
          <w:highlight w:val="none"/>
          <w:lang w:eastAsia="zh-CN"/>
        </w:rPr>
        <w:t>中的</w:t>
      </w:r>
      <w:r>
        <w:rPr>
          <w:rFonts w:hint="eastAsia" w:ascii="仿宋" w:hAnsi="仿宋" w:eastAsia="仿宋" w:cs="仿宋"/>
          <w:color w:val="auto"/>
          <w:sz w:val="28"/>
          <w:szCs w:val="28"/>
          <w:highlight w:val="none"/>
        </w:rPr>
        <w:t>相关规定，愿承担违约责任。</w:t>
      </w:r>
    </w:p>
    <w:p w14:paraId="1AB0017D">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color w:val="auto"/>
          <w:sz w:val="28"/>
          <w:szCs w:val="28"/>
          <w:highlight w:val="none"/>
          <w:lang w:val="en-US" w:eastAsia="zh-CN"/>
        </w:rPr>
      </w:pPr>
    </w:p>
    <w:p w14:paraId="58DFCF10">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竞租人签字（盖章）：</w:t>
      </w:r>
    </w:p>
    <w:p w14:paraId="210B5C0F">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760" w:firstLineChars="1700"/>
        <w:textAlignment w:val="auto"/>
        <w:rPr>
          <w:rFonts w:hint="eastAsia" w:ascii="仿宋" w:hAnsi="仿宋" w:eastAsia="仿宋" w:cs="仿宋"/>
          <w:color w:val="auto"/>
          <w:sz w:val="28"/>
          <w:szCs w:val="28"/>
          <w:highlight w:val="none"/>
          <w:lang w:val="en-US" w:eastAsia="zh-CN"/>
        </w:rPr>
      </w:pPr>
    </w:p>
    <w:p w14:paraId="53DC47B0">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760" w:firstLineChars="17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安徽皖融项目管理有限公司</w:t>
      </w:r>
    </w:p>
    <w:p w14:paraId="37119A1D">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320" w:firstLineChars="1900"/>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2025年10月16日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4090ECB-160B-4BF7-B65B-86FE0AB2F96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公文小标宋">
    <w:panose1 w:val="02000500000000000000"/>
    <w:charset w:val="86"/>
    <w:family w:val="auto"/>
    <w:pitch w:val="default"/>
    <w:sig w:usb0="A00002BF" w:usb1="38CF7CFA" w:usb2="00000016" w:usb3="00000000" w:csb0="00040001" w:csb1="00000000"/>
    <w:embedRegular r:id="rId2" w:fontKey="{C48833A4-75AE-4015-996B-3EE6419AAFD3}"/>
  </w:font>
  <w:font w:name="仿宋">
    <w:panose1 w:val="02010609060101010101"/>
    <w:charset w:val="86"/>
    <w:family w:val="modern"/>
    <w:pitch w:val="default"/>
    <w:sig w:usb0="800002BF" w:usb1="38CF7CFA" w:usb2="00000016" w:usb3="00000000" w:csb0="00040001" w:csb1="00000000"/>
    <w:embedRegular r:id="rId3" w:fontKey="{35BC0F24-D72B-4D98-B5C9-18C64B9C513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1D1D7A"/>
    <w:multiLevelType w:val="singleLevel"/>
    <w:tmpl w:val="1D1D1D7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862F64"/>
    <w:rsid w:val="00973FB8"/>
    <w:rsid w:val="04A66578"/>
    <w:rsid w:val="05B178CA"/>
    <w:rsid w:val="08B82D1E"/>
    <w:rsid w:val="0A4725AB"/>
    <w:rsid w:val="0CF0084C"/>
    <w:rsid w:val="0D7C07BE"/>
    <w:rsid w:val="0E590AFF"/>
    <w:rsid w:val="0EF40828"/>
    <w:rsid w:val="0F820916"/>
    <w:rsid w:val="116972AB"/>
    <w:rsid w:val="14F275B8"/>
    <w:rsid w:val="15877D00"/>
    <w:rsid w:val="15AC6F3F"/>
    <w:rsid w:val="1AFC2F3E"/>
    <w:rsid w:val="1B140288"/>
    <w:rsid w:val="21DE339D"/>
    <w:rsid w:val="22EB5AC3"/>
    <w:rsid w:val="25596608"/>
    <w:rsid w:val="25E371D4"/>
    <w:rsid w:val="27806CA5"/>
    <w:rsid w:val="279462AC"/>
    <w:rsid w:val="28D01566"/>
    <w:rsid w:val="292A511A"/>
    <w:rsid w:val="293E0BC6"/>
    <w:rsid w:val="2964062C"/>
    <w:rsid w:val="2F302D5E"/>
    <w:rsid w:val="2F6C023B"/>
    <w:rsid w:val="3002294D"/>
    <w:rsid w:val="32C43EEA"/>
    <w:rsid w:val="335A65FC"/>
    <w:rsid w:val="33F91E59"/>
    <w:rsid w:val="353F1F4D"/>
    <w:rsid w:val="36256FCF"/>
    <w:rsid w:val="37865C12"/>
    <w:rsid w:val="38B92017"/>
    <w:rsid w:val="3EAD617A"/>
    <w:rsid w:val="3F177A97"/>
    <w:rsid w:val="41970E2B"/>
    <w:rsid w:val="41CB477D"/>
    <w:rsid w:val="426C3C56"/>
    <w:rsid w:val="42E1384A"/>
    <w:rsid w:val="43A22FA4"/>
    <w:rsid w:val="446D6F79"/>
    <w:rsid w:val="45EC57D9"/>
    <w:rsid w:val="46B45E50"/>
    <w:rsid w:val="47B86A37"/>
    <w:rsid w:val="48AB372A"/>
    <w:rsid w:val="4A1444F5"/>
    <w:rsid w:val="4E047438"/>
    <w:rsid w:val="4F9E659D"/>
    <w:rsid w:val="50237BD3"/>
    <w:rsid w:val="52862F64"/>
    <w:rsid w:val="53BB67EB"/>
    <w:rsid w:val="53D01DD7"/>
    <w:rsid w:val="5422686A"/>
    <w:rsid w:val="5454741A"/>
    <w:rsid w:val="56A17F1A"/>
    <w:rsid w:val="582232DD"/>
    <w:rsid w:val="5A395294"/>
    <w:rsid w:val="5AB346C0"/>
    <w:rsid w:val="5AF54CD9"/>
    <w:rsid w:val="60862B39"/>
    <w:rsid w:val="62D33B51"/>
    <w:rsid w:val="63846BFA"/>
    <w:rsid w:val="642F20E4"/>
    <w:rsid w:val="651B358E"/>
    <w:rsid w:val="65496E93"/>
    <w:rsid w:val="689A3890"/>
    <w:rsid w:val="69151573"/>
    <w:rsid w:val="6AC44C57"/>
    <w:rsid w:val="6AF37CDE"/>
    <w:rsid w:val="6D904119"/>
    <w:rsid w:val="6DF40E20"/>
    <w:rsid w:val="6F674856"/>
    <w:rsid w:val="74A00DA0"/>
    <w:rsid w:val="7603432A"/>
    <w:rsid w:val="789E0306"/>
    <w:rsid w:val="7E0603E3"/>
    <w:rsid w:val="7F484B27"/>
    <w:rsid w:val="7F855D7C"/>
    <w:rsid w:val="7FC86F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Indent"/>
    <w:basedOn w:val="1"/>
    <w:next w:val="3"/>
    <w:qFormat/>
    <w:uiPriority w:val="0"/>
    <w:pPr>
      <w:spacing w:line="360" w:lineRule="auto"/>
    </w:pPr>
    <w:rPr>
      <w:rFonts w:ascii="宋体"/>
      <w:szCs w:val="20"/>
    </w:rPr>
  </w:style>
  <w:style w:type="paragraph" w:styleId="3">
    <w:name w:val="envelope return"/>
    <w:basedOn w:val="1"/>
    <w:qFormat/>
    <w:uiPriority w:val="99"/>
    <w:pPr>
      <w:snapToGrid w:val="0"/>
    </w:pPr>
    <w:rPr>
      <w:rFonts w:ascii="Arial" w:hAnsi="Arial"/>
    </w:rPr>
  </w:style>
  <w:style w:type="paragraph" w:styleId="4">
    <w:name w:val="Normal (Web)"/>
    <w:basedOn w:val="1"/>
    <w:qFormat/>
    <w:uiPriority w:val="0"/>
    <w:pPr>
      <w:spacing w:beforeAutospacing="1" w:afterAutospacing="1"/>
      <w:jc w:val="left"/>
    </w:pPr>
    <w:rPr>
      <w:rFonts w:cs="Times New Roman"/>
      <w:kern w:val="0"/>
      <w:sz w:val="24"/>
    </w:rPr>
  </w:style>
  <w:style w:type="paragraph" w:styleId="5">
    <w:name w:val="Body Text First Indent 2"/>
    <w:basedOn w:val="2"/>
    <w:qFormat/>
    <w:uiPriority w:val="0"/>
    <w:pPr>
      <w:spacing w:after="120" w:line="240" w:lineRule="auto"/>
      <w:ind w:left="420" w:leftChars="200" w:firstLine="200" w:firstLineChars="200"/>
      <w:jc w:val="left"/>
    </w:pPr>
    <w:rPr>
      <w:rFonts w:hAnsi="宋体"/>
      <w:szCs w:val="24"/>
    </w:rPr>
  </w:style>
  <w:style w:type="character" w:styleId="8">
    <w:name w:val="Hyperlink"/>
    <w:basedOn w:val="7"/>
    <w:qFormat/>
    <w:uiPriority w:val="0"/>
    <w:rPr>
      <w:color w:val="5C5C5C"/>
      <w:u w:val="none"/>
    </w:rPr>
  </w:style>
  <w:style w:type="paragraph" w:customStyle="1" w:styleId="9">
    <w:name w:val="列出段落1"/>
    <w:basedOn w:val="1"/>
    <w:qFormat/>
    <w:uiPriority w:val="34"/>
    <w:pPr>
      <w:ind w:firstLine="420" w:firstLineChars="200"/>
    </w:pPr>
    <w:rPr>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3008</Words>
  <Characters>3085</Characters>
  <Lines>0</Lines>
  <Paragraphs>0</Paragraphs>
  <TotalTime>16</TotalTime>
  <ScaleCrop>false</ScaleCrop>
  <LinksUpToDate>false</LinksUpToDate>
  <CharactersWithSpaces>3115</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2025-07-09T07:00:00Z</dcterms:created>
  <dc:creator>何晓琳</dc:creator>
  <cp:lastModifiedBy>何晓琳</cp:lastModifiedBy>
  <cp:lastPrinted>2025-08-06T02:47:00Z</cp:lastPrinted>
  <dcterms:modified xsi:type="dcterms:W3CDTF">2025-10-16T00:56:23Z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57EB1542E23749068792BB1EE8B62B4E_13</vt:lpwstr>
  </property>
  <property fmtid="{D5CDD505-2E9C-101B-9397-08002B2CF9AE}" pid="4" name="KSOTemplateDocerSaveRecord">
    <vt:lpwstr>eyJoZGlkIjoiNjU5MjBiNDQ4MDAzZDY5YzFhNzk2YzRjMDU4YmJlMjQiLCJ1c2VySWQiOiIxNzA3OTcyODQyIn0=</vt:lpwstr>
  </property>
</Properties>
</file>